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17" w:right="0"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Montserrat Thin" w:cs="Montserrat Thin" w:eastAsia="Montserrat Thin" w:hAnsi="Montserrat Thi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rPr/>
      </w:pPr>
      <w:r w:rsidDel="00000000" w:rsidR="00000000" w:rsidRPr="00000000">
        <w:rPr>
          <w:color w:val="223e7d"/>
          <w:u w:val="none"/>
          <w:rtl w:val="0"/>
        </w:rPr>
        <w:t xml:space="preserve">Module 2 Engaging Stakeholders</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 w:line="240" w:lineRule="auto"/>
        <w:ind w:left="117" w:right="0" w:firstLine="0"/>
        <w:jc w:val="left"/>
        <w:rPr>
          <w:rFonts w:ascii="Montserrat" w:cs="Montserrat" w:eastAsia="Montserrat" w:hAnsi="Montserrat"/>
          <w:b w:val="1"/>
          <w:i w:val="0"/>
          <w:smallCaps w:val="0"/>
          <w:strike w:val="0"/>
          <w:color w:val="000000"/>
          <w:sz w:val="30"/>
          <w:szCs w:val="30"/>
          <w:u w:val="none"/>
          <w:shd w:fill="auto" w:val="clear"/>
          <w:vertAlign w:val="baseline"/>
        </w:rPr>
      </w:pPr>
      <w:r w:rsidDel="00000000" w:rsidR="00000000" w:rsidRPr="00000000">
        <w:rPr>
          <w:rFonts w:ascii="Montserrat" w:cs="Montserrat" w:eastAsia="Montserrat" w:hAnsi="Montserrat"/>
          <w:b w:val="1"/>
          <w:i w:val="0"/>
          <w:smallCaps w:val="0"/>
          <w:strike w:val="0"/>
          <w:color w:val="1d91d0"/>
          <w:sz w:val="30"/>
          <w:szCs w:val="30"/>
          <w:u w:val="none"/>
          <w:shd w:fill="auto" w:val="clear"/>
          <w:vertAlign w:val="baseline"/>
          <w:rtl w:val="0"/>
        </w:rPr>
        <w:t xml:space="preserve">Organising and Running a Stakeholder Workshop</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80" w:lineRule="auto"/>
        <w:ind w:left="117" w:right="93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 typical Stakeholder Workshop would last a whole day (6 hours) and involves 20–40 stakeholders.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Plan the workshop well to maximise stakeholder support</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2" w:line="264" w:lineRule="auto"/>
        <w:ind w:left="477" w:right="1000"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Plan well in advance, after checking diaries for other key events in the country/ locality.</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9" w:line="264" w:lineRule="auto"/>
        <w:ind w:left="477" w:right="1852"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When inviting stakeholders, give them an overview of the Responsive Dialogues process, its purpose, and areas that will be discussed.</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 w:line="264" w:lineRule="auto"/>
        <w:ind w:left="477" w:right="1835"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Personalised official invitations increase the likelihood of stakeholders attending, but also follow up with personal calls or emails.</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 w:line="264" w:lineRule="auto"/>
        <w:ind w:left="477" w:right="1350"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To maximise stakeholder engagement during the workshop, an interactive participatory approach is suggested.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7" w:right="254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Suggested Stakeholder Workshop structure and timings</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Duration: 6 hours, 20–40 stakeholders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Montserrat Thin" w:cs="Montserrat Thin" w:eastAsia="Montserrat Thin" w:hAnsi="Montserrat Thin"/>
          <w:b w:val="0"/>
          <w:i w:val="0"/>
          <w:smallCaps w:val="0"/>
          <w:strike w:val="0"/>
          <w:color w:val="000000"/>
          <w:sz w:val="8"/>
          <w:szCs w:val="8"/>
          <w:u w:val="none"/>
          <w:shd w:fill="auto" w:val="clear"/>
          <w:vertAlign w:val="baseline"/>
        </w:rPr>
      </w:pPr>
      <w:r w:rsidDel="00000000" w:rsidR="00000000" w:rsidRPr="00000000">
        <w:rPr>
          <w:rtl w:val="0"/>
        </w:rPr>
      </w:r>
    </w:p>
    <w:tbl>
      <w:tblPr>
        <w:tblStyle w:val="Table1"/>
        <w:tblW w:w="9060.0" w:type="dxa"/>
        <w:jc w:val="left"/>
        <w:tblInd w:w="11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990"/>
        <w:gridCol w:w="2070"/>
        <w:tblGridChange w:id="0">
          <w:tblGrid>
            <w:gridCol w:w="6990"/>
            <w:gridCol w:w="2070"/>
          </w:tblGrid>
        </w:tblGridChange>
      </w:tblGrid>
      <w:tr>
        <w:trPr>
          <w:cantSplit w:val="0"/>
          <w:trHeight w:val="220" w:hRule="atLeast"/>
          <w:tblHeader w:val="0"/>
        </w:trPr>
        <w:tc>
          <w:tcPr>
            <w:tcBorders>
              <w:top w:color="000000" w:space="0" w:sz="0" w:val="nil"/>
              <w:left w:color="000000" w:space="0" w:sz="0" w:val="nil"/>
              <w:bottom w:color="000000" w:space="0" w:sz="0" w:val="nil"/>
              <w:right w:color="ffffff" w:space="0" w:sz="4" w:val="single"/>
            </w:tcBorders>
            <w:shd w:fill="1d91d0" w:val="clear"/>
            <w:tcMar>
              <w:top w:w="80.0" w:type="dxa"/>
              <w:left w:w="165.0" w:type="dxa"/>
              <w:bottom w:w="80.0" w:type="dxa"/>
              <w:right w:w="8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85" w:right="0"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7"/>
                <w:szCs w:val="17"/>
                <w:u w:val="none"/>
                <w:shd w:fill="auto" w:val="clear"/>
                <w:vertAlign w:val="baseline"/>
                <w:rtl w:val="0"/>
              </w:rPr>
              <w:t xml:space="preserve">Workshop activities</w:t>
            </w:r>
            <w:r w:rsidDel="00000000" w:rsidR="00000000" w:rsidRPr="00000000">
              <w:rPr>
                <w:rtl w:val="0"/>
              </w:rPr>
            </w:r>
          </w:p>
        </w:tc>
        <w:tc>
          <w:tcPr>
            <w:tcBorders>
              <w:top w:color="000000" w:space="0" w:sz="0" w:val="nil"/>
              <w:left w:color="ffffff" w:space="0" w:sz="4" w:val="single"/>
              <w:bottom w:color="000000" w:space="0" w:sz="0" w:val="nil"/>
              <w:right w:color="000000" w:space="0" w:sz="0" w:val="nil"/>
            </w:tcBorders>
            <w:shd w:fill="1d91d0" w:val="clear"/>
            <w:tcMar>
              <w:top w:w="80.0" w:type="dxa"/>
              <w:left w:w="160.0" w:type="dxa"/>
              <w:bottom w:w="80.0" w:type="dxa"/>
              <w:right w:w="8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80" w:right="0"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7"/>
                <w:szCs w:val="17"/>
                <w:u w:val="none"/>
                <w:shd w:fill="auto" w:val="clear"/>
                <w:vertAlign w:val="baseline"/>
                <w:rtl w:val="0"/>
              </w:rPr>
              <w:t xml:space="preserve">Duration</w:t>
            </w:r>
            <w:r w:rsidDel="00000000" w:rsidR="00000000" w:rsidRPr="00000000">
              <w:rPr>
                <w:rtl w:val="0"/>
              </w:rPr>
            </w:r>
          </w:p>
        </w:tc>
      </w:tr>
      <w:tr>
        <w:trPr>
          <w:cantSplit w:val="0"/>
          <w:trHeight w:val="215" w:hRule="atLeast"/>
          <w:tblHeader w:val="0"/>
        </w:trPr>
        <w:tc>
          <w:tcPr>
            <w:tcBorders>
              <w:top w:color="000000" w:space="0" w:sz="0" w:val="nil"/>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Welcome and introduce aims of workshop</w:t>
            </w:r>
            <w:r w:rsidDel="00000000" w:rsidR="00000000" w:rsidRPr="00000000">
              <w:rPr>
                <w:rtl w:val="0"/>
              </w:rPr>
            </w:r>
          </w:p>
        </w:tc>
        <w:tc>
          <w:tcPr>
            <w:tcBorders>
              <w:top w:color="000000" w:space="0" w:sz="0" w:val="nil"/>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30 mins</w:t>
            </w:r>
            <w:r w:rsidDel="00000000" w:rsidR="00000000" w:rsidRPr="00000000">
              <w:rPr>
                <w:rtl w:val="0"/>
              </w:rPr>
            </w:r>
          </w:p>
        </w:tc>
      </w:tr>
      <w:tr>
        <w:trPr>
          <w:cantSplit w:val="0"/>
          <w:trHeight w:val="210" w:hRule="atLeast"/>
          <w:tblHeader w:val="0"/>
        </w:trPr>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Align shared goals</w:t>
            </w:r>
            <w:r w:rsidDel="00000000" w:rsidR="00000000" w:rsidRPr="00000000">
              <w:rPr>
                <w:rtl w:val="0"/>
              </w:rPr>
            </w:r>
          </w:p>
        </w:tc>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1 hour</w:t>
            </w:r>
            <w:r w:rsidDel="00000000" w:rsidR="00000000" w:rsidRPr="00000000">
              <w:rPr>
                <w:rtl w:val="0"/>
              </w:rPr>
            </w:r>
          </w:p>
        </w:tc>
      </w:tr>
      <w:tr>
        <w:trPr>
          <w:cantSplit w:val="0"/>
          <w:trHeight w:val="210" w:hRule="atLeast"/>
          <w:tblHeader w:val="0"/>
        </w:trPr>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Narrow down the focus</w:t>
            </w:r>
            <w:r w:rsidDel="00000000" w:rsidR="00000000" w:rsidRPr="00000000">
              <w:rPr>
                <w:rtl w:val="0"/>
              </w:rPr>
            </w:r>
          </w:p>
        </w:tc>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1 hour</w:t>
            </w:r>
            <w:r w:rsidDel="00000000" w:rsidR="00000000" w:rsidRPr="00000000">
              <w:rPr>
                <w:rtl w:val="0"/>
              </w:rPr>
            </w:r>
          </w:p>
        </w:tc>
      </w:tr>
      <w:tr>
        <w:trPr>
          <w:cantSplit w:val="0"/>
          <w:trHeight w:val="210" w:hRule="atLeast"/>
          <w:tblHeader w:val="0"/>
        </w:trPr>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Programme ownership and impact paths</w:t>
            </w:r>
            <w:r w:rsidDel="00000000" w:rsidR="00000000" w:rsidRPr="00000000">
              <w:rPr>
                <w:rtl w:val="0"/>
              </w:rPr>
            </w:r>
          </w:p>
        </w:tc>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1 hour</w:t>
            </w:r>
            <w:r w:rsidDel="00000000" w:rsidR="00000000" w:rsidRPr="00000000">
              <w:rPr>
                <w:rtl w:val="0"/>
              </w:rPr>
            </w:r>
          </w:p>
        </w:tc>
      </w:tr>
      <w:tr>
        <w:trPr>
          <w:cantSplit w:val="0"/>
          <w:trHeight w:val="210" w:hRule="atLeast"/>
          <w:tblHeader w:val="0"/>
        </w:trPr>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Structure and evidence to reach goals</w:t>
            </w:r>
            <w:r w:rsidDel="00000000" w:rsidR="00000000" w:rsidRPr="00000000">
              <w:rPr>
                <w:rtl w:val="0"/>
              </w:rPr>
            </w:r>
          </w:p>
        </w:tc>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2 hours</w:t>
            </w:r>
            <w:r w:rsidDel="00000000" w:rsidR="00000000" w:rsidRPr="00000000">
              <w:rPr>
                <w:rtl w:val="0"/>
              </w:rPr>
            </w:r>
          </w:p>
        </w:tc>
      </w:tr>
      <w:tr>
        <w:trPr>
          <w:cantSplit w:val="0"/>
          <w:trHeight w:val="210" w:hRule="atLeast"/>
          <w:tblHeader w:val="0"/>
        </w:trPr>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Next steps</w:t>
            </w:r>
            <w:r w:rsidDel="00000000" w:rsidR="00000000" w:rsidRPr="00000000">
              <w:rPr>
                <w:rtl w:val="0"/>
              </w:rPr>
            </w:r>
          </w:p>
        </w:tc>
        <w:tc>
          <w:tcPr>
            <w:tcBorders>
              <w:top w:color="1d91d0" w:space="0" w:sz="4" w:val="single"/>
              <w:left w:color="1d91d0" w:space="0" w:sz="4" w:val="single"/>
              <w:bottom w:color="1d91d0" w:space="0" w:sz="4" w:val="single"/>
              <w:right w:color="1d91d0" w:space="0" w:sz="4" w:val="single"/>
            </w:tcBorders>
            <w:shd w:fill="auto" w:val="clear"/>
            <w:tcMar>
              <w:top w:w="80.0" w:type="dxa"/>
              <w:left w:w="160.0" w:type="dxa"/>
              <w:bottom w:w="80.0" w:type="dxa"/>
              <w:right w:w="8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30 mins</w:t>
            </w: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9" w:right="0" w:hanging="129"/>
        <w:jc w:val="left"/>
        <w:rPr>
          <w:rFonts w:ascii="Montserrat Thin" w:cs="Montserrat Thin" w:eastAsia="Montserrat Thin" w:hAnsi="Montserrat Thi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Welcome and introduce aims of the workshop (30 mins)</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2" w:line="264" w:lineRule="auto"/>
        <w:ind w:left="477" w:right="1190"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Introduce project challenge – what is AMR, why AMR focus, and why engage the public.</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9" w:line="240" w:lineRule="auto"/>
        <w:ind w:left="477" w:right="0" w:hanging="360"/>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Introduce approach needed to face this challenge: why is it essential.</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Introduce the organisation(s) behind the project.</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Introduce facilitators and stakeholders.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8" w:line="264" w:lineRule="auto"/>
        <w:ind w:left="477" w:right="1159" w:hanging="361"/>
        <w:jc w:val="left"/>
        <w:rPr>
          <w:rFonts w:ascii="Montserrat" w:cs="Montserrat" w:eastAsia="Montserrat" w:hAnsi="Montserrat"/>
          <w:b w:val="0"/>
          <w:i w:val="0"/>
          <w:smallCaps w:val="0"/>
          <w:strike w:val="0"/>
          <w:color w:val="000000"/>
          <w:sz w:val="18"/>
          <w:szCs w:val="18"/>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Introduce roles and rules of the day focusing on openness, collaboration, and building on each other’s ideas.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Montserrat Thin" w:cs="Montserrat Thin" w:eastAsia="Montserrat Thin" w:hAnsi="Montserrat Thi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Align shared goals (1 hour)</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80" w:lineRule="auto"/>
        <w:ind w:left="117" w:right="93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 a stepwise process, ask individuals to share their AMR goals, firstly in small groups and then the facilitator can take all the goals. Discuss in plenary and cluster goals into categories.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Narrow down the focus (1 hour)</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117" w:right="937" w:firstLine="0"/>
        <w:jc w:val="left"/>
        <w:rPr>
          <w:rFonts w:ascii="Montserrat" w:cs="Montserrat" w:eastAsia="Montserrat" w:hAnsi="Montserrat"/>
          <w:b w:val="0"/>
          <w:i w:val="0"/>
          <w:smallCaps w:val="0"/>
          <w:strike w:val="0"/>
          <w:color w:val="000000"/>
          <w:sz w:val="18"/>
          <w:szCs w:val="18"/>
          <w:u w:val="none"/>
          <w:shd w:fill="auto" w:val="clear"/>
          <w:vertAlign w:val="baseline"/>
        </w:rPr>
        <w:sectPr>
          <w:headerReference r:id="rId7" w:type="default"/>
          <w:footerReference r:id="rId8" w:type="default"/>
          <w:pgSz w:h="16840" w:w="11920" w:orient="portrait"/>
          <w:pgMar w:bottom="1000" w:top="560" w:left="1300" w:right="1680" w:header="0" w:footer="814"/>
          <w:pgNumType w:start="152"/>
        </w:sect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Involve stakeholders in identifying where, within the broad AMR space, it makes most sense to act. To do this, the core implementation team presents what research data is saying about the most urgent AMR needs in their country, which priorities resonate with the public, and what is the openness of policy-makers and the private sector. A prioritisation matrix could be used for this exercise.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5" w:right="0" w:firstLine="0"/>
        <w:jc w:val="left"/>
        <w:rPr>
          <w:rFonts w:ascii="Montserrat" w:cs="Montserrat" w:eastAsia="Montserrat" w:hAnsi="Montserrat"/>
          <w:b w:val="1"/>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9"/>
          <w:szCs w:val="19"/>
          <w:u w:val="none"/>
          <w:shd w:fill="auto" w:val="clear"/>
          <w:vertAlign w:val="baseline"/>
          <w:rtl w:val="0"/>
        </w:rPr>
        <w:t xml:space="preserve">Programme ownership and impact path (1 hour)</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115" w:right="1090" w:firstLine="0"/>
        <w:jc w:val="left"/>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Ask for input from all stakeholders (particularly policy-makers) on who will co- own the project, noting that the Responsive Dialogues process encourages collaborative/shared ownership among the core implementation team, stakeholders, and participants.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5" w:right="937" w:firstLine="0"/>
        <w:jc w:val="left"/>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Lead discussion on decisions to be made on whether to link the Responsive Dialogues to an existing priority area or a new area yet to be explored, bearing in mind how Responsive Dialogues can contribute to context-specific information. Remember that the starting point for the Responsive Dialogues approach is localised action and solutions.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both"/>
        <w:rPr>
          <w:rFonts w:ascii="Montserrat" w:cs="Montserrat" w:eastAsia="Montserrat" w:hAnsi="Montserrat"/>
          <w:b w:val="1"/>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9"/>
          <w:szCs w:val="19"/>
          <w:u w:val="none"/>
          <w:shd w:fill="auto" w:val="clear"/>
          <w:vertAlign w:val="baseline"/>
          <w:rtl w:val="0"/>
        </w:rPr>
        <w:t xml:space="preserve">Structure and evidence to reach goals (2 hours)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80" w:lineRule="auto"/>
        <w:ind w:left="115" w:right="950" w:firstLine="0"/>
        <w:jc w:val="both"/>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Input from stakeholders on how to set up Conversation Events for the shared goals and agreed upon focus, including:</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475" w:right="1006" w:hanging="361"/>
        <w:jc w:val="both"/>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Programme structure: region and specific locations; duration and frequency of Conversation Events; group size; community groups to target; and researchers and others to involve</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64" w:lineRule="auto"/>
        <w:ind w:left="475" w:right="870" w:hanging="361"/>
        <w:jc w:val="both"/>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Input on evidence: what information to obtain from participants; possible topics for discussion; and knowledge and messages to transfer.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both"/>
        <w:rPr>
          <w:rFonts w:ascii="Montserrat" w:cs="Montserrat" w:eastAsia="Montserrat" w:hAnsi="Montserrat"/>
          <w:b w:val="1"/>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9"/>
          <w:szCs w:val="19"/>
          <w:u w:val="none"/>
          <w:shd w:fill="auto" w:val="clear"/>
          <w:vertAlign w:val="baseline"/>
          <w:rtl w:val="0"/>
        </w:rPr>
        <w:t xml:space="preserve">Next steps (30 mins)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80" w:lineRule="auto"/>
        <w:ind w:left="115" w:right="937" w:firstLine="0"/>
        <w:jc w:val="left"/>
        <w:rPr>
          <w:rFonts w:ascii="Montserrat" w:cs="Montserrat" w:eastAsia="Montserrat" w:hAnsi="Montserrat"/>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End the workshop with a clear outline of next steps in the Responsive Dialogues process.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Montserrat" w:cs="Montserrat" w:eastAsia="Montserrat" w:hAnsi="Montserrat"/>
          <w:b w:val="1"/>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9"/>
          <w:szCs w:val="19"/>
          <w:u w:val="none"/>
          <w:shd w:fill="auto" w:val="clear"/>
          <w:vertAlign w:val="baseline"/>
          <w:rtl w:val="0"/>
        </w:rPr>
        <w:t xml:space="preserve">Finalise project goals and focus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0" w:lineRule="auto"/>
        <w:ind w:left="115" w:right="455"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9"/>
          <w:szCs w:val="19"/>
          <w:u w:val="none"/>
          <w:shd w:fill="auto" w:val="clear"/>
          <w:vertAlign w:val="baseline"/>
          <w:rtl w:val="0"/>
        </w:rPr>
        <w:t xml:space="preserve">After the Stakeholder Workshop, final decisions about the focus areas for the Responsive Dialogues should be made, including topics, impact paths, actions, and geographical areas.</w:t>
      </w:r>
      <w:r w:rsidDel="00000000" w:rsidR="00000000" w:rsidRPr="00000000">
        <w:rPr>
          <w:rtl w:val="0"/>
        </w:rPr>
      </w:r>
    </w:p>
    <w:sectPr>
      <w:headerReference r:id="rId9" w:type="default"/>
      <w:type w:val="nextPage"/>
      <w:pgSz w:h="16840" w:w="11920" w:orient="portrait"/>
      <w:pgMar w:bottom="1000" w:top="1520" w:left="1300" w:right="1680" w:header="0" w:footer="8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Bold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Avenir"/>
  <w:font w:name="Montserrat Thin">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widowControl w:val="0"/>
      <w:spacing w:before="38" w:line="280" w:lineRule="auto"/>
      <w:ind w:left="115" w:right="455" w:firstLine="0"/>
      <w:rPr>
        <w:rFonts w:ascii="Montserrat Thin" w:cs="Montserrat Thin" w:eastAsia="Montserrat Thin" w:hAnsi="Montserrat Thin"/>
        <w:sz w:val="19"/>
        <w:szCs w:val="19"/>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ontserrat Thin" w:cs="Montserrat Thin" w:eastAsia="Montserrat Thin" w:hAnsi="Montserrat Thin"/>
        <w:sz w:val="19"/>
        <w:szCs w:val="19"/>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75"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1324" w:hanging="362.9999999999999"/>
      </w:pPr>
      <w:rPr>
        <w:rFonts w:ascii="Avenir" w:cs="Avenir" w:eastAsia="Avenir" w:hAnsi="Avenir"/>
        <w:b w:val="0"/>
        <w:i w:val="0"/>
        <w:smallCaps w:val="0"/>
        <w:strike w:val="0"/>
        <w:shd w:fill="auto" w:val="clear"/>
        <w:vertAlign w:val="baseline"/>
      </w:rPr>
    </w:lvl>
    <w:lvl w:ilvl="2">
      <w:start w:val="1"/>
      <w:numFmt w:val="bullet"/>
      <w:lvlText w:val="•"/>
      <w:lvlJc w:val="left"/>
      <w:pPr>
        <w:ind w:left="2169" w:hanging="362.9999999999998"/>
      </w:pPr>
      <w:rPr>
        <w:rFonts w:ascii="Avenir" w:cs="Avenir" w:eastAsia="Avenir" w:hAnsi="Avenir"/>
        <w:b w:val="0"/>
        <w:i w:val="0"/>
        <w:smallCaps w:val="0"/>
        <w:strike w:val="0"/>
        <w:shd w:fill="auto" w:val="clear"/>
        <w:vertAlign w:val="baseline"/>
      </w:rPr>
    </w:lvl>
    <w:lvl w:ilvl="3">
      <w:start w:val="1"/>
      <w:numFmt w:val="bullet"/>
      <w:lvlText w:val="•"/>
      <w:lvlJc w:val="left"/>
      <w:pPr>
        <w:ind w:left="3013" w:hanging="363"/>
      </w:pPr>
      <w:rPr>
        <w:rFonts w:ascii="Avenir" w:cs="Avenir" w:eastAsia="Avenir" w:hAnsi="Avenir"/>
        <w:b w:val="0"/>
        <w:i w:val="0"/>
        <w:smallCaps w:val="0"/>
        <w:strike w:val="0"/>
        <w:shd w:fill="auto" w:val="clear"/>
        <w:vertAlign w:val="baseline"/>
      </w:rPr>
    </w:lvl>
    <w:lvl w:ilvl="4">
      <w:start w:val="1"/>
      <w:numFmt w:val="bullet"/>
      <w:lvlText w:val="•"/>
      <w:lvlJc w:val="left"/>
      <w:pPr>
        <w:ind w:left="3858" w:hanging="363"/>
      </w:pPr>
      <w:rPr>
        <w:rFonts w:ascii="Avenir" w:cs="Avenir" w:eastAsia="Avenir" w:hAnsi="Avenir"/>
        <w:b w:val="0"/>
        <w:i w:val="0"/>
        <w:smallCaps w:val="0"/>
        <w:strike w:val="0"/>
        <w:shd w:fill="auto" w:val="clear"/>
        <w:vertAlign w:val="baseline"/>
      </w:rPr>
    </w:lvl>
    <w:lvl w:ilvl="5">
      <w:start w:val="1"/>
      <w:numFmt w:val="bullet"/>
      <w:lvlText w:val="•"/>
      <w:lvlJc w:val="left"/>
      <w:pPr>
        <w:ind w:left="4702" w:hanging="363"/>
      </w:pPr>
      <w:rPr>
        <w:rFonts w:ascii="Avenir" w:cs="Avenir" w:eastAsia="Avenir" w:hAnsi="Avenir"/>
        <w:b w:val="0"/>
        <w:i w:val="0"/>
        <w:smallCaps w:val="0"/>
        <w:strike w:val="0"/>
        <w:shd w:fill="auto" w:val="clear"/>
        <w:vertAlign w:val="baseline"/>
      </w:rPr>
    </w:lvl>
    <w:lvl w:ilvl="6">
      <w:start w:val="1"/>
      <w:numFmt w:val="bullet"/>
      <w:lvlText w:val="•"/>
      <w:lvlJc w:val="left"/>
      <w:pPr>
        <w:ind w:left="5547" w:hanging="362.9999999999991"/>
      </w:pPr>
      <w:rPr>
        <w:rFonts w:ascii="Avenir" w:cs="Avenir" w:eastAsia="Avenir" w:hAnsi="Avenir"/>
        <w:b w:val="0"/>
        <w:i w:val="0"/>
        <w:smallCaps w:val="0"/>
        <w:strike w:val="0"/>
        <w:shd w:fill="auto" w:val="clear"/>
        <w:vertAlign w:val="baseline"/>
      </w:rPr>
    </w:lvl>
    <w:lvl w:ilvl="7">
      <w:start w:val="1"/>
      <w:numFmt w:val="bullet"/>
      <w:lvlText w:val="•"/>
      <w:lvlJc w:val="left"/>
      <w:pPr>
        <w:ind w:left="6391" w:hanging="362.9999999999991"/>
      </w:pPr>
      <w:rPr>
        <w:rFonts w:ascii="Avenir" w:cs="Avenir" w:eastAsia="Avenir" w:hAnsi="Avenir"/>
        <w:b w:val="0"/>
        <w:i w:val="0"/>
        <w:smallCaps w:val="0"/>
        <w:strike w:val="0"/>
        <w:shd w:fill="auto" w:val="clear"/>
        <w:vertAlign w:val="baseline"/>
      </w:rPr>
    </w:lvl>
    <w:lvl w:ilvl="8">
      <w:start w:val="1"/>
      <w:numFmt w:val="bullet"/>
      <w:lvlText w:val="•"/>
      <w:lvlJc w:val="left"/>
      <w:pPr>
        <w:ind w:left="7236" w:hanging="362.9999999999991"/>
      </w:pPr>
      <w:rPr>
        <w:rFonts w:ascii="Avenir" w:cs="Avenir" w:eastAsia="Avenir" w:hAnsi="Avenir"/>
        <w:b w:val="0"/>
        <w:i w:val="0"/>
        <w:smallCaps w:val="0"/>
        <w:strike w:val="0"/>
        <w:shd w:fill="auto" w:val="clear"/>
        <w:vertAlign w:val="baseline"/>
      </w:rPr>
    </w:lvl>
  </w:abstractNum>
  <w:abstractNum w:abstractNumId="2">
    <w:lvl w:ilvl="0">
      <w:start w:val="1"/>
      <w:numFmt w:val="bullet"/>
      <w:lvlText w:val="•"/>
      <w:lvlJc w:val="left"/>
      <w:pPr>
        <w:ind w:left="477"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1324" w:hanging="360.9999999999999"/>
      </w:pPr>
      <w:rPr>
        <w:rFonts w:ascii="Avenir" w:cs="Avenir" w:eastAsia="Avenir" w:hAnsi="Avenir"/>
        <w:b w:val="0"/>
        <w:i w:val="0"/>
        <w:smallCaps w:val="0"/>
        <w:strike w:val="0"/>
        <w:shd w:fill="auto" w:val="clear"/>
        <w:vertAlign w:val="baseline"/>
      </w:rPr>
    </w:lvl>
    <w:lvl w:ilvl="2">
      <w:start w:val="1"/>
      <w:numFmt w:val="bullet"/>
      <w:lvlText w:val="•"/>
      <w:lvlJc w:val="left"/>
      <w:pPr>
        <w:ind w:left="2169" w:hanging="361"/>
      </w:pPr>
      <w:rPr>
        <w:rFonts w:ascii="Avenir" w:cs="Avenir" w:eastAsia="Avenir" w:hAnsi="Avenir"/>
        <w:b w:val="0"/>
        <w:i w:val="0"/>
        <w:smallCaps w:val="0"/>
        <w:strike w:val="0"/>
        <w:shd w:fill="auto" w:val="clear"/>
        <w:vertAlign w:val="baseline"/>
      </w:rPr>
    </w:lvl>
    <w:lvl w:ilvl="3">
      <w:start w:val="1"/>
      <w:numFmt w:val="bullet"/>
      <w:lvlText w:val="•"/>
      <w:lvlJc w:val="left"/>
      <w:pPr>
        <w:ind w:left="3013" w:hanging="361"/>
      </w:pPr>
      <w:rPr>
        <w:rFonts w:ascii="Avenir" w:cs="Avenir" w:eastAsia="Avenir" w:hAnsi="Avenir"/>
        <w:b w:val="0"/>
        <w:i w:val="0"/>
        <w:smallCaps w:val="0"/>
        <w:strike w:val="0"/>
        <w:shd w:fill="auto" w:val="clear"/>
        <w:vertAlign w:val="baseline"/>
      </w:rPr>
    </w:lvl>
    <w:lvl w:ilvl="4">
      <w:start w:val="1"/>
      <w:numFmt w:val="bullet"/>
      <w:lvlText w:val="•"/>
      <w:lvlJc w:val="left"/>
      <w:pPr>
        <w:ind w:left="3858" w:hanging="361"/>
      </w:pPr>
      <w:rPr>
        <w:rFonts w:ascii="Avenir" w:cs="Avenir" w:eastAsia="Avenir" w:hAnsi="Avenir"/>
        <w:b w:val="0"/>
        <w:i w:val="0"/>
        <w:smallCaps w:val="0"/>
        <w:strike w:val="0"/>
        <w:shd w:fill="auto" w:val="clear"/>
        <w:vertAlign w:val="baseline"/>
      </w:rPr>
    </w:lvl>
    <w:lvl w:ilvl="5">
      <w:start w:val="1"/>
      <w:numFmt w:val="bullet"/>
      <w:lvlText w:val="•"/>
      <w:lvlJc w:val="left"/>
      <w:pPr>
        <w:ind w:left="4702" w:hanging="361"/>
      </w:pPr>
      <w:rPr>
        <w:rFonts w:ascii="Avenir" w:cs="Avenir" w:eastAsia="Avenir" w:hAnsi="Avenir"/>
        <w:b w:val="0"/>
        <w:i w:val="0"/>
        <w:smallCaps w:val="0"/>
        <w:strike w:val="0"/>
        <w:shd w:fill="auto" w:val="clear"/>
        <w:vertAlign w:val="baseline"/>
      </w:rPr>
    </w:lvl>
    <w:lvl w:ilvl="6">
      <w:start w:val="1"/>
      <w:numFmt w:val="bullet"/>
      <w:lvlText w:val="•"/>
      <w:lvlJc w:val="left"/>
      <w:pPr>
        <w:ind w:left="5547" w:hanging="361"/>
      </w:pPr>
      <w:rPr>
        <w:rFonts w:ascii="Avenir" w:cs="Avenir" w:eastAsia="Avenir" w:hAnsi="Avenir"/>
        <w:b w:val="0"/>
        <w:i w:val="0"/>
        <w:smallCaps w:val="0"/>
        <w:strike w:val="0"/>
        <w:shd w:fill="auto" w:val="clear"/>
        <w:vertAlign w:val="baseline"/>
      </w:rPr>
    </w:lvl>
    <w:lvl w:ilvl="7">
      <w:start w:val="1"/>
      <w:numFmt w:val="bullet"/>
      <w:lvlText w:val="•"/>
      <w:lvlJc w:val="left"/>
      <w:pPr>
        <w:ind w:left="6391" w:hanging="361"/>
      </w:pPr>
      <w:rPr>
        <w:rFonts w:ascii="Avenir" w:cs="Avenir" w:eastAsia="Avenir" w:hAnsi="Avenir"/>
        <w:b w:val="0"/>
        <w:i w:val="0"/>
        <w:smallCaps w:val="0"/>
        <w:strike w:val="0"/>
        <w:shd w:fill="auto" w:val="clear"/>
        <w:vertAlign w:val="baseline"/>
      </w:rPr>
    </w:lvl>
    <w:lvl w:ilvl="8">
      <w:start w:val="1"/>
      <w:numFmt w:val="bullet"/>
      <w:lvlText w:val="•"/>
      <w:lvlJc w:val="left"/>
      <w:pPr>
        <w:ind w:left="7236" w:hanging="361"/>
      </w:pPr>
      <w:rPr>
        <w:rFonts w:ascii="Avenir" w:cs="Avenir" w:eastAsia="Avenir" w:hAnsi="Avenir"/>
        <w:b w:val="0"/>
        <w:i w:val="0"/>
        <w:smallCaps w:val="0"/>
        <w:strike w:val="0"/>
        <w:shd w:fill="auto" w:val="clear"/>
        <w:vertAlign w:val="baseline"/>
      </w:rPr>
    </w:lvl>
  </w:abstractNum>
  <w:abstractNum w:abstractNumId="3">
    <w:lvl w:ilvl="0">
      <w:start w:val="1"/>
      <w:numFmt w:val="bullet"/>
      <w:lvlText w:val="•"/>
      <w:lvlJc w:val="left"/>
      <w:pPr>
        <w:ind w:left="477" w:hanging="360"/>
      </w:pPr>
      <w:rPr>
        <w:rFonts w:ascii="Avenir" w:cs="Avenir" w:eastAsia="Avenir" w:hAnsi="Avenir"/>
        <w:b w:val="0"/>
        <w:i w:val="0"/>
        <w:smallCaps w:val="0"/>
        <w:strike w:val="0"/>
        <w:shd w:fill="auto" w:val="clear"/>
        <w:vertAlign w:val="baseline"/>
      </w:rPr>
    </w:lvl>
    <w:lvl w:ilvl="1">
      <w:start w:val="1"/>
      <w:numFmt w:val="bullet"/>
      <w:lvlText w:val="•"/>
      <w:lvlJc w:val="left"/>
      <w:pPr>
        <w:ind w:left="1324" w:hanging="360"/>
      </w:pPr>
      <w:rPr>
        <w:rFonts w:ascii="Avenir" w:cs="Avenir" w:eastAsia="Avenir" w:hAnsi="Avenir"/>
        <w:b w:val="0"/>
        <w:i w:val="0"/>
        <w:smallCaps w:val="0"/>
        <w:strike w:val="0"/>
        <w:shd w:fill="auto" w:val="clear"/>
        <w:vertAlign w:val="baseline"/>
      </w:rPr>
    </w:lvl>
    <w:lvl w:ilvl="2">
      <w:start w:val="1"/>
      <w:numFmt w:val="bullet"/>
      <w:lvlText w:val="•"/>
      <w:lvlJc w:val="left"/>
      <w:pPr>
        <w:ind w:left="2169" w:hanging="360"/>
      </w:pPr>
      <w:rPr>
        <w:rFonts w:ascii="Avenir" w:cs="Avenir" w:eastAsia="Avenir" w:hAnsi="Avenir"/>
        <w:b w:val="0"/>
        <w:i w:val="0"/>
        <w:smallCaps w:val="0"/>
        <w:strike w:val="0"/>
        <w:shd w:fill="auto" w:val="clear"/>
        <w:vertAlign w:val="baseline"/>
      </w:rPr>
    </w:lvl>
    <w:lvl w:ilvl="3">
      <w:start w:val="1"/>
      <w:numFmt w:val="bullet"/>
      <w:lvlText w:val="•"/>
      <w:lvlJc w:val="left"/>
      <w:pPr>
        <w:ind w:left="3013" w:hanging="360"/>
      </w:pPr>
      <w:rPr>
        <w:rFonts w:ascii="Avenir" w:cs="Avenir" w:eastAsia="Avenir" w:hAnsi="Avenir"/>
        <w:b w:val="0"/>
        <w:i w:val="0"/>
        <w:smallCaps w:val="0"/>
        <w:strike w:val="0"/>
        <w:shd w:fill="auto" w:val="clear"/>
        <w:vertAlign w:val="baseline"/>
      </w:rPr>
    </w:lvl>
    <w:lvl w:ilvl="4">
      <w:start w:val="1"/>
      <w:numFmt w:val="bullet"/>
      <w:lvlText w:val="•"/>
      <w:lvlJc w:val="left"/>
      <w:pPr>
        <w:ind w:left="3858" w:hanging="360"/>
      </w:pPr>
      <w:rPr>
        <w:rFonts w:ascii="Avenir" w:cs="Avenir" w:eastAsia="Avenir" w:hAnsi="Avenir"/>
        <w:b w:val="0"/>
        <w:i w:val="0"/>
        <w:smallCaps w:val="0"/>
        <w:strike w:val="0"/>
        <w:shd w:fill="auto" w:val="clear"/>
        <w:vertAlign w:val="baseline"/>
      </w:rPr>
    </w:lvl>
    <w:lvl w:ilvl="5">
      <w:start w:val="1"/>
      <w:numFmt w:val="bullet"/>
      <w:lvlText w:val="•"/>
      <w:lvlJc w:val="left"/>
      <w:pPr>
        <w:ind w:left="4702" w:hanging="360"/>
      </w:pPr>
      <w:rPr>
        <w:rFonts w:ascii="Avenir" w:cs="Avenir" w:eastAsia="Avenir" w:hAnsi="Avenir"/>
        <w:b w:val="0"/>
        <w:i w:val="0"/>
        <w:smallCaps w:val="0"/>
        <w:strike w:val="0"/>
        <w:shd w:fill="auto" w:val="clear"/>
        <w:vertAlign w:val="baseline"/>
      </w:rPr>
    </w:lvl>
    <w:lvl w:ilvl="6">
      <w:start w:val="1"/>
      <w:numFmt w:val="bullet"/>
      <w:lvlText w:val="•"/>
      <w:lvlJc w:val="left"/>
      <w:pPr>
        <w:ind w:left="5547" w:hanging="360"/>
      </w:pPr>
      <w:rPr>
        <w:rFonts w:ascii="Avenir" w:cs="Avenir" w:eastAsia="Avenir" w:hAnsi="Avenir"/>
        <w:b w:val="0"/>
        <w:i w:val="0"/>
        <w:smallCaps w:val="0"/>
        <w:strike w:val="0"/>
        <w:shd w:fill="auto" w:val="clear"/>
        <w:vertAlign w:val="baseline"/>
      </w:rPr>
    </w:lvl>
    <w:lvl w:ilvl="7">
      <w:start w:val="1"/>
      <w:numFmt w:val="bullet"/>
      <w:lvlText w:val="•"/>
      <w:lvlJc w:val="left"/>
      <w:pPr>
        <w:ind w:left="6391" w:hanging="360"/>
      </w:pPr>
      <w:rPr>
        <w:rFonts w:ascii="Avenir" w:cs="Avenir" w:eastAsia="Avenir" w:hAnsi="Avenir"/>
        <w:b w:val="0"/>
        <w:i w:val="0"/>
        <w:smallCaps w:val="0"/>
        <w:strike w:val="0"/>
        <w:shd w:fill="auto" w:val="clear"/>
        <w:vertAlign w:val="baseline"/>
      </w:rPr>
    </w:lvl>
    <w:lvl w:ilvl="8">
      <w:start w:val="1"/>
      <w:numFmt w:val="bullet"/>
      <w:lvlText w:val="•"/>
      <w:lvlJc w:val="left"/>
      <w:pPr>
        <w:ind w:left="7236" w:hanging="360"/>
      </w:pPr>
      <w:rPr>
        <w:rFonts w:ascii="Avenir" w:cs="Avenir" w:eastAsia="Avenir" w:hAnsi="Avenir"/>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pPr>
    <w:rPr>
      <w:rFonts w:ascii="Montserrat SemiBold" w:cs="Montserrat SemiBold" w:eastAsia="Montserrat SemiBold" w:hAnsi="Montserrat SemiBold"/>
      <w:b w:val="1"/>
      <w:i w:val="0"/>
      <w:smallCaps w:val="0"/>
      <w:strike w:val="0"/>
      <w:color w:val="000000"/>
      <w:sz w:val="40"/>
      <w:szCs w:val="40"/>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Body Text">
    <w:name w:val="Body Text"/>
    <w:next w:val="Body Text"/>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19"/>
      <w:szCs w:val="19"/>
      <w:u w:color="000000" w:val="none"/>
      <w:shd w:color="auto" w:fill="auto" w:val="nil"/>
      <w:vertAlign w:val="baseline"/>
      <w:lang w:val="en-US"/>
      <w14:textFill>
        <w14:solidFill>
          <w14:srgbClr w14:val="000000"/>
        </w14:solidFill>
      </w14:textFill>
    </w:rPr>
  </w:style>
  <w:style w:type="paragraph" w:styleId="Title">
    <w:name w:val="Title"/>
    <w:next w:val="Title"/>
    <w:pPr>
      <w:keepNext w:val="0"/>
      <w:keepLines w:val="0"/>
      <w:pageBreakBefore w:val="0"/>
      <w:widowControl w:val="0"/>
      <w:shd w:color="auto" w:fill="auto" w:val="clear"/>
      <w:suppressAutoHyphens w:val="0"/>
      <w:bidi w:val="0"/>
      <w:spacing w:after="0" w:before="0" w:line="240" w:lineRule="auto"/>
      <w:ind w:left="117" w:right="0" w:firstLine="0"/>
      <w:jc w:val="left"/>
      <w:outlineLvl w:val="9"/>
    </w:pPr>
    <w:rPr>
      <w:rFonts w:ascii="Montserrat SemiBold" w:cs="Montserrat SemiBold" w:eastAsia="Montserrat SemiBold" w:hAnsi="Montserrat SemiBold"/>
      <w:b w:val="1"/>
      <w:bCs w:val="1"/>
      <w:i w:val="0"/>
      <w:iCs w:val="0"/>
      <w:caps w:val="0"/>
      <w:smallCaps w:val="0"/>
      <w:strike w:val="0"/>
      <w:dstrike w:val="0"/>
      <w:outline w:val="0"/>
      <w:color w:val="000000"/>
      <w:spacing w:val="0"/>
      <w:kern w:val="0"/>
      <w:position w:val="0"/>
      <w:sz w:val="40"/>
      <w:szCs w:val="40"/>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0"/>
      <w:shd w:color="auto" w:fill="auto" w:val="clear"/>
      <w:suppressAutoHyphens w:val="0"/>
      <w:bidi w:val="0"/>
      <w:spacing w:after="0" w:before="18" w:line="240" w:lineRule="auto"/>
      <w:ind w:left="477" w:right="0" w:hanging="361"/>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paragraph" w:styleId="Table Paragraph">
    <w:name w:val="Table Paragraph"/>
    <w:next w:val="Table Paragraph"/>
    <w:pPr>
      <w:keepNext w:val="0"/>
      <w:keepLines w:val="0"/>
      <w:pageBreakBefore w:val="0"/>
      <w:widowControl w:val="0"/>
      <w:shd w:color="auto" w:fill="auto" w:val="clear"/>
      <w:suppressAutoHyphens w:val="0"/>
      <w:bidi w:val="0"/>
      <w:spacing w:after="0" w:before="75" w:line="240" w:lineRule="auto"/>
      <w:ind w:left="80" w:right="0" w:firstLine="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Montserrat-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bold.ttf"/><Relationship Id="rId15" Type="http://schemas.openxmlformats.org/officeDocument/2006/relationships/font" Target="fonts/MontserratThin-regular.ttf"/><Relationship Id="rId14" Type="http://schemas.openxmlformats.org/officeDocument/2006/relationships/font" Target="fonts/HelveticaNeue-boldItalic.ttf"/><Relationship Id="rId17" Type="http://schemas.openxmlformats.org/officeDocument/2006/relationships/font" Target="fonts/MontserratThin-italic.ttf"/><Relationship Id="rId16" Type="http://schemas.openxmlformats.org/officeDocument/2006/relationships/font" Target="fonts/MontserratThin-bold.ttf"/><Relationship Id="rId5" Type="http://schemas.openxmlformats.org/officeDocument/2006/relationships/font" Target="fonts/Arimo-regular.ttf"/><Relationship Id="rId6" Type="http://schemas.openxmlformats.org/officeDocument/2006/relationships/font" Target="fonts/Arimo-bold.ttf"/><Relationship Id="rId18" Type="http://schemas.openxmlformats.org/officeDocument/2006/relationships/font" Target="fonts/MontserratThin-boldItalic.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Montserrat SemiBold"/>
        <a:ea typeface="Montserrat SemiBold"/>
        <a:cs typeface="Montserrat SemiBold"/>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xXwJYVL0FD2de+yxtYrbNQCwg==">CgMxLjA4AHIhMWJLYnRWOUVNVHRuQ2twUmF3a21sRjI4TTE0U3VkblNU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