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" w:line="295" w:lineRule="auto"/>
        <w:ind w:left="113" w:right="782" w:firstLine="0"/>
        <w:jc w:val="left"/>
        <w:rPr>
          <w:rFonts w:ascii="Montserrat SemiBold" w:cs="Montserrat SemiBold" w:eastAsia="Montserrat SemiBold" w:hAnsi="Montserrat SemiBold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b w:val="1"/>
          <w:i w:val="0"/>
          <w:smallCaps w:val="0"/>
          <w:strike w:val="0"/>
          <w:color w:val="223e7d"/>
          <w:sz w:val="40"/>
          <w:szCs w:val="40"/>
          <w:u w:val="none"/>
          <w:shd w:fill="auto" w:val="clear"/>
          <w:vertAlign w:val="baseline"/>
          <w:rtl w:val="0"/>
        </w:rPr>
        <w:t xml:space="preserve">Module 5 Preparing for Conversation Events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8" w:line="240" w:lineRule="auto"/>
        <w:ind w:left="113" w:right="0" w:firstLine="0"/>
        <w:jc w:val="left"/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1d91d0"/>
          <w:sz w:val="30"/>
          <w:szCs w:val="30"/>
          <w:u w:val="none"/>
          <w:shd w:fill="auto" w:val="clear"/>
          <w:vertAlign w:val="baseline"/>
          <w:rtl w:val="0"/>
        </w:rPr>
        <w:t xml:space="preserve">Logistics Checklist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" w:line="240" w:lineRule="auto"/>
        <w:ind w:left="0" w:right="0" w:firstLine="0"/>
        <w:jc w:val="left"/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995.0" w:type="dxa"/>
        <w:jc w:val="left"/>
        <w:tblInd w:w="159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6090"/>
        <w:gridCol w:w="1905"/>
        <w:tblGridChange w:id="0">
          <w:tblGrid>
            <w:gridCol w:w="6090"/>
            <w:gridCol w:w="1905"/>
          </w:tblGrid>
        </w:tblGridChange>
      </w:tblGrid>
      <w:tr>
        <w:trPr>
          <w:cantSplit w:val="0"/>
          <w:trHeight w:val="174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d91d0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5" w:line="240" w:lineRule="auto"/>
              <w:ind w:left="85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General logistics to check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4" w:hRule="atLeast"/>
          <w:tblHeader w:val="0"/>
        </w:trPr>
        <w:tc>
          <w:tcPr>
            <w:gridSpan w:val="2"/>
            <w:tcBorders>
              <w:top w:color="000000" w:space="0" w:sz="0" w:val="nil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0" w:lineRule="auto"/>
              <w:ind w:left="80" w:right="0" w:firstLine="0"/>
              <w:jc w:val="left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Logistics and venue</w:t>
            </w:r>
          </w:p>
        </w:tc>
      </w:tr>
      <w:tr>
        <w:trPr>
          <w:cantSplit w:val="0"/>
          <w:trHeight w:val="154" w:hRule="atLeast"/>
          <w:tblHeader w:val="0"/>
        </w:trPr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0" w:lineRule="auto"/>
              <w:ind w:left="80" w:right="0" w:firstLine="0"/>
              <w:jc w:val="left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Find ‘the right’ venue</w:t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4" w:hRule="atLeast"/>
          <w:tblHeader w:val="0"/>
        </w:trPr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0" w:lineRule="auto"/>
              <w:ind w:left="80" w:right="0" w:firstLine="0"/>
              <w:jc w:val="left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Check availability</w:t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4" w:hRule="atLeast"/>
          <w:tblHeader w:val="0"/>
        </w:trPr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0" w:lineRule="auto"/>
              <w:ind w:left="80" w:right="0" w:firstLine="0"/>
              <w:jc w:val="left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Check access</w:t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4" w:hRule="atLeast"/>
          <w:tblHeader w:val="0"/>
        </w:trPr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0" w:lineRule="auto"/>
              <w:ind w:left="80" w:right="0" w:firstLine="0"/>
              <w:jc w:val="left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Check Safety, Health, and Environment</w:t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4" w:hRule="atLeast"/>
          <w:tblHeader w:val="0"/>
        </w:trPr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0" w:lineRule="auto"/>
              <w:ind w:left="80" w:right="0" w:firstLine="0"/>
              <w:jc w:val="left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Check space</w:t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" w:hRule="atLeast"/>
          <w:tblHeader w:val="0"/>
        </w:trPr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2" w:lineRule="auto"/>
              <w:ind w:left="80" w:right="0" w:firstLine="0"/>
              <w:jc w:val="left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Check equipment, facilities (e.g. toilets, tea/coffee equipment), and services (e.g. who will set up coffee/tea, lunches, etc.)</w:t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4" w:hRule="atLeast"/>
          <w:tblHeader w:val="0"/>
        </w:trPr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" w:line="240" w:lineRule="auto"/>
              <w:ind w:left="80" w:right="0" w:firstLine="0"/>
              <w:jc w:val="left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Book and pay</w:t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4" w:hRule="atLeast"/>
          <w:tblHeader w:val="0"/>
        </w:trPr>
        <w:tc>
          <w:tcPr>
            <w:gridSpan w:val="2"/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" w:line="240" w:lineRule="auto"/>
              <w:ind w:left="80" w:right="0" w:firstLine="0"/>
              <w:jc w:val="left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Determine modality</w:t>
            </w:r>
          </w:p>
        </w:tc>
      </w:tr>
      <w:tr>
        <w:trPr>
          <w:cantSplit w:val="0"/>
          <w:trHeight w:val="154" w:hRule="atLeast"/>
          <w:tblHeader w:val="0"/>
        </w:trPr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" w:line="240" w:lineRule="auto"/>
              <w:ind w:left="80" w:right="0" w:firstLine="0"/>
              <w:jc w:val="left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Online (and check technical requirements)</w:t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4" w:hRule="atLeast"/>
          <w:tblHeader w:val="0"/>
        </w:trPr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" w:line="240" w:lineRule="auto"/>
              <w:ind w:left="80" w:right="0" w:firstLine="0"/>
              <w:jc w:val="left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Face-to-face</w:t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4" w:hRule="atLeast"/>
          <w:tblHeader w:val="0"/>
        </w:trPr>
        <w:tc>
          <w:tcPr>
            <w:gridSpan w:val="2"/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" w:line="240" w:lineRule="auto"/>
              <w:ind w:left="80" w:right="0" w:firstLine="0"/>
              <w:jc w:val="left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Resources and equipment</w:t>
            </w:r>
          </w:p>
        </w:tc>
      </w:tr>
      <w:tr>
        <w:trPr>
          <w:cantSplit w:val="0"/>
          <w:trHeight w:val="364" w:hRule="atLeast"/>
          <w:tblHeader w:val="0"/>
        </w:trPr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" w:line="242" w:lineRule="auto"/>
              <w:ind w:left="80" w:right="0" w:firstLine="0"/>
              <w:jc w:val="left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Stationery (e.g. note pads, post-its, name tags, pens, flipcharts, markers, name tags, blue-tac, cellotape)</w:t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" w:hRule="atLeast"/>
          <w:tblHeader w:val="0"/>
        </w:trPr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" w:line="242" w:lineRule="auto"/>
              <w:ind w:left="80" w:right="0" w:firstLine="0"/>
              <w:jc w:val="left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Printed materials (e.g. posters, handouts, publications, questionnaires, surveys, feedback forms, registration forms, etc.)</w:t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" w:hRule="atLeast"/>
          <w:tblHeader w:val="0"/>
        </w:trPr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" w:line="242" w:lineRule="auto"/>
              <w:ind w:left="80" w:right="1012" w:firstLine="0"/>
              <w:jc w:val="left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Presentation/technical supplies (e.g. projectors, lighting, microphones, PowerPoint slides, videos, animations, etc.)</w:t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4" w:hRule="atLeast"/>
          <w:tblHeader w:val="0"/>
        </w:trPr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" w:line="240" w:lineRule="auto"/>
              <w:ind w:left="80" w:right="0" w:firstLine="0"/>
              <w:jc w:val="left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Tables, chairs, etc.</w:t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4" w:hRule="atLeast"/>
          <w:tblHeader w:val="0"/>
        </w:trPr>
        <w:tc>
          <w:tcPr>
            <w:gridSpan w:val="2"/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" w:line="240" w:lineRule="auto"/>
              <w:ind w:left="80" w:right="0" w:firstLine="0"/>
              <w:jc w:val="left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Food, travel, and accommodation</w:t>
            </w:r>
          </w:p>
        </w:tc>
      </w:tr>
      <w:tr>
        <w:trPr>
          <w:cantSplit w:val="0"/>
          <w:trHeight w:val="364" w:hRule="atLeast"/>
          <w:tblHeader w:val="0"/>
        </w:trPr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" w:line="242" w:lineRule="auto"/>
              <w:ind w:left="80" w:right="0" w:firstLine="0"/>
              <w:jc w:val="left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Catering and refreshments (consider dietary requirements and healthy options) and use local vendors</w:t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" w:hRule="atLeast"/>
          <w:tblHeader w:val="0"/>
        </w:trPr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" w:line="242" w:lineRule="auto"/>
              <w:ind w:left="80" w:right="185" w:firstLine="0"/>
              <w:jc w:val="left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Complete travel and accommodation/other logistical arrangement for facilitators, experts, participants</w:t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4" w:hRule="atLeast"/>
          <w:tblHeader w:val="0"/>
        </w:trPr>
        <w:tc>
          <w:tcPr>
            <w:gridSpan w:val="2"/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" w:line="240" w:lineRule="auto"/>
              <w:ind w:left="80" w:right="0" w:firstLine="0"/>
              <w:jc w:val="left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Communication</w:t>
            </w:r>
          </w:p>
        </w:tc>
      </w:tr>
      <w:tr>
        <w:trPr>
          <w:cantSplit w:val="0"/>
          <w:trHeight w:val="154" w:hRule="atLeast"/>
          <w:tblHeader w:val="0"/>
        </w:trPr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" w:line="240" w:lineRule="auto"/>
              <w:ind w:left="80" w:right="0" w:firstLine="0"/>
              <w:jc w:val="left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Communicate plans to relevant stakeholders, experts, participants</w:t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4" w:hRule="atLeast"/>
          <w:tblHeader w:val="0"/>
        </w:trPr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" w:line="240" w:lineRule="auto"/>
              <w:ind w:left="80" w:right="0" w:firstLine="0"/>
              <w:jc w:val="left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Note-taking</w:t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4" w:hRule="atLeast"/>
          <w:tblHeader w:val="0"/>
        </w:trPr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" w:line="240" w:lineRule="auto"/>
              <w:ind w:left="80" w:right="0" w:firstLine="0"/>
              <w:jc w:val="left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Note-taker appointed</w:t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9" w:hRule="atLeast"/>
          <w:tblHeader w:val="0"/>
        </w:trPr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" w:line="240" w:lineRule="auto"/>
              <w:ind w:left="80" w:right="0" w:firstLine="0"/>
              <w:jc w:val="left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Check audio/video/photographic equipment requirements</w:t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9" w:hRule="atLeast"/>
          <w:tblHeader w:val="0"/>
        </w:trPr>
        <w:tc>
          <w:tcPr>
            <w:gridSpan w:val="2"/>
            <w:tcBorders>
              <w:top w:color="1d91d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d91d0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85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Logistics involving facilitators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" w:hRule="atLeast"/>
          <w:tblHeader w:val="0"/>
        </w:trPr>
        <w:tc>
          <w:tcPr>
            <w:tcBorders>
              <w:top w:color="000000" w:space="0" w:sz="0" w:val="nil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" w:line="242" w:lineRule="auto"/>
              <w:ind w:left="80" w:right="185" w:firstLine="0"/>
              <w:jc w:val="left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Human resources needed to assist with Conversation Event (e.g. other faciltators, volunteers, support service personnel, etc.)</w:t>
            </w:r>
          </w:p>
        </w:tc>
        <w:tc>
          <w:tcPr>
            <w:tcBorders>
              <w:top w:color="000000" w:space="0" w:sz="0" w:val="nil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4" w:hRule="atLeast"/>
          <w:tblHeader w:val="0"/>
        </w:trPr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" w:line="240" w:lineRule="auto"/>
              <w:ind w:left="80" w:right="0" w:firstLine="0"/>
              <w:jc w:val="left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Brief each person concerning their role (what, when, where)</w:t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4" w:hRule="atLeast"/>
          <w:tblHeader w:val="0"/>
        </w:trPr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" w:line="242" w:lineRule="auto"/>
              <w:ind w:left="80" w:right="0" w:firstLine="0"/>
              <w:jc w:val="left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Resources and equipment needed (create checklist and gather them, including any appropriate videos and other materials on AMR and Responsive Dialogues)</w:t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0" w:right="0" w:firstLine="0"/>
        <w:jc w:val="left"/>
        <w:rPr>
          <w:rFonts w:ascii="Montserrat Thin" w:cs="Montserrat Thin" w:eastAsia="Montserrat Thin" w:hAnsi="Montserrat Thi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20" w:orient="portrait"/>
      <w:pgMar w:bottom="280" w:top="1280" w:left="1300" w:right="9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Montserrat SemiBol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Helvetica Neue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  <w:font w:name="Montserrat Thin">
    <w:embedRegular w:fontKey="{00000000-0000-0000-0000-000000000000}" r:id="rId13" w:subsetted="0"/>
    <w:embedBold w:fontKey="{00000000-0000-0000-0000-000000000000}" r:id="rId14" w:subsetted="0"/>
    <w:embedItalic w:fontKey="{00000000-0000-0000-0000-000000000000}" r:id="rId15" w:subsetted="0"/>
    <w:embedBoldItalic w:fontKey="{00000000-0000-0000-0000-000000000000}" r:id="rId1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next w:val="Normal"/>
    <w:pPr/>
    <w:rPr>
      <w:sz w:val="24"/>
      <w:szCs w:val="24"/>
      <w:lang w:bidi="ar-SA" w:eastAsia="en-US" w:val="en-US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.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color="auto" w:fill="auto" w:val="clear"/>
      <w:tabs>
        <w:tab w:val="right" w:pos="9020"/>
      </w:tabs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Helvetica Neue" w:cs="Arial Unicode MS" w:eastAsia="Arial Unicode MS" w:hAnsi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color="auto" w:fill="auto" w:val="nil"/>
      <w:vertAlign w:val="baseline"/>
      <w14:textFill>
        <w14:solidFill>
          <w14:srgbClr w14:val="000000"/>
        </w14:solidFill>
      </w14:textFill>
      <w14:textOutline>
        <w14:noFill/>
      </w14:textOutline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color="auto" w:fill="auto" w:val="clear"/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Montserrat SemiBold" w:cs="Montserrat SemiBold" w:eastAsia="Montserrat SemiBold" w:hAnsi="Montserrat SemiBold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0"/>
      <w:szCs w:val="40"/>
      <w:u w:color="000000" w:val="none"/>
      <w:shd w:color="auto" w:fill="auto" w:val="nil"/>
      <w:vertAlign w:val="baseline"/>
      <w:lang w:val="en-US"/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0"/>
      <w:shd w:color="auto" w:fill="auto" w:val="clear"/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Montserrat Thin" w:cs="Montserrat Thin" w:eastAsia="Montserrat Thin" w:hAnsi="Montserrat Thi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color="000000" w:val="none"/>
      <w:shd w:color="auto" w:fill="auto" w:val="nil"/>
      <w:vertAlign w:val="baseline"/>
      <w:lang w:val="en-US"/>
      <w14:textFill>
        <w14:solidFill>
          <w14:srgbClr w14:val="000000"/>
        </w14:solidFill>
      </w14:textFill>
      <w14:textOutline>
        <w14:noFill/>
      </w14:textOutline>
    </w:rPr>
  </w:style>
  <w:style w:type="paragraph" w:styleId="Table Paragraph">
    <w:name w:val="Table Paragraph"/>
    <w:next w:val="Table Paragraph"/>
    <w:pPr>
      <w:keepNext w:val="0"/>
      <w:keepLines w:val="0"/>
      <w:pageBreakBefore w:val="0"/>
      <w:widowControl w:val="0"/>
      <w:shd w:color="auto" w:fill="auto" w:val="clear"/>
      <w:suppressAutoHyphens w:val="0"/>
      <w:bidi w:val="0"/>
      <w:spacing w:after="0" w:before="0" w:line="240" w:lineRule="auto"/>
      <w:ind w:left="80" w:right="0" w:firstLine="0"/>
      <w:jc w:val="left"/>
      <w:outlineLvl w:val="9"/>
    </w:pPr>
    <w:rPr>
      <w:rFonts w:ascii="Montserrat Thin" w:cs="Montserrat Thin" w:eastAsia="Montserrat Thin" w:hAnsi="Montserrat Thi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color="000000" w:val="none"/>
      <w:shd w:color="auto" w:fill="auto" w:val="nil"/>
      <w:vertAlign w:val="baseline"/>
      <w:lang w:val="en-US"/>
      <w14:textFill>
        <w14:solidFill>
          <w14:srgbClr w14:val="000000"/>
        </w14:solidFill>
      </w14:textFill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1" Type="http://schemas.openxmlformats.org/officeDocument/2006/relationships/font" Target="fonts/HelveticaNeue-italic.ttf"/><Relationship Id="rId10" Type="http://schemas.openxmlformats.org/officeDocument/2006/relationships/font" Target="fonts/HelveticaNeue-bold.ttf"/><Relationship Id="rId13" Type="http://schemas.openxmlformats.org/officeDocument/2006/relationships/font" Target="fonts/MontserratThin-regular.ttf"/><Relationship Id="rId12" Type="http://schemas.openxmlformats.org/officeDocument/2006/relationships/font" Target="fonts/HelveticaNeue-boldItalic.ttf"/><Relationship Id="rId1" Type="http://schemas.openxmlformats.org/officeDocument/2006/relationships/font" Target="fonts/MontserratSemiBold-regular.ttf"/><Relationship Id="rId2" Type="http://schemas.openxmlformats.org/officeDocument/2006/relationships/font" Target="fonts/MontserratSemiBold-bold.ttf"/><Relationship Id="rId3" Type="http://schemas.openxmlformats.org/officeDocument/2006/relationships/font" Target="fonts/MontserratSemiBold-italic.ttf"/><Relationship Id="rId4" Type="http://schemas.openxmlformats.org/officeDocument/2006/relationships/font" Target="fonts/MontserratSemiBold-boldItalic.ttf"/><Relationship Id="rId9" Type="http://schemas.openxmlformats.org/officeDocument/2006/relationships/font" Target="fonts/HelveticaNeue-regular.ttf"/><Relationship Id="rId15" Type="http://schemas.openxmlformats.org/officeDocument/2006/relationships/font" Target="fonts/MontserratThin-italic.ttf"/><Relationship Id="rId14" Type="http://schemas.openxmlformats.org/officeDocument/2006/relationships/font" Target="fonts/MontserratThin-bold.ttf"/><Relationship Id="rId16" Type="http://schemas.openxmlformats.org/officeDocument/2006/relationships/font" Target="fonts/MontserratThin-boldItalic.ttf"/><Relationship Id="rId5" Type="http://schemas.openxmlformats.org/officeDocument/2006/relationships/font" Target="fonts/Montserrat-regular.ttf"/><Relationship Id="rId6" Type="http://schemas.openxmlformats.org/officeDocument/2006/relationships/font" Target="fonts/Montserrat-bold.ttf"/><Relationship Id="rId7" Type="http://schemas.openxmlformats.org/officeDocument/2006/relationships/font" Target="fonts/Montserrat-italic.ttf"/><Relationship Id="rId8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Nykrqhq1nKS91VAFhCDFXEyfhw==">CgMxLjA4AHIhMXFnRTRNVGVFMkxIMWUyMjUyWmNTck1ZQmJ5U3lxX2pm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