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Thin" w:cs="Montserrat Thin" w:eastAsia="Montserrat Thin" w:hAnsi="Montserrat Thi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265113</wp:posOffset>
                </wp:positionH>
                <wp:positionV relativeFrom="paragraph">
                  <wp:posOffset>47625</wp:posOffset>
                </wp:positionV>
                <wp:extent cx="382587" cy="876300"/>
                <wp:effectExtent b="0" l="0" r="0" t="0"/>
                <wp:wrapNone/>
                <wp:docPr descr="Textbox 3" id="1073741828" name=""/>
                <a:graphic>
                  <a:graphicData uri="http://schemas.microsoft.com/office/word/2010/wordprocessingShape">
                    <wps:wsp>
                      <wps:cNvSpPr/>
                      <wps:cNvPr id="2" name="Shape 2"/>
                      <wps:spPr>
                        <a:xfrm>
                          <a:off x="5312028" y="3346296"/>
                          <a:ext cx="67944" cy="86740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Thin" w:cs="Montserrat Thin" w:eastAsia="Montserrat Thin" w:hAnsi="Montserrat Thin"/>
                                <w:b w:val="0"/>
                                <w:i w:val="0"/>
                                <w:smallCaps w:val="0"/>
                                <w:strike w:val="0"/>
                                <w:color w:val="1d91d0"/>
                                <w:sz w:val="112"/>
                                <w:vertAlign w:val="baseline"/>
                              </w:rPr>
                              <w:t xml:space="preserve">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265113</wp:posOffset>
                </wp:positionH>
                <wp:positionV relativeFrom="paragraph">
                  <wp:posOffset>47625</wp:posOffset>
                </wp:positionV>
                <wp:extent cx="382587" cy="876300"/>
                <wp:effectExtent b="0" l="0" r="0" t="0"/>
                <wp:wrapNone/>
                <wp:docPr descr="Textbox 3" id="1073741828" name="image1.png"/>
                <a:graphic>
                  <a:graphicData uri="http://schemas.openxmlformats.org/drawingml/2006/picture">
                    <pic:pic>
                      <pic:nvPicPr>
                        <pic:cNvPr descr="Textbox 3" id="0" name="image1.png"/>
                        <pic:cNvPicPr preferRelativeResize="0"/>
                      </pic:nvPicPr>
                      <pic:blipFill>
                        <a:blip r:embed="rId7"/>
                        <a:srcRect/>
                        <a:stretch>
                          <a:fillRect/>
                        </a:stretch>
                      </pic:blipFill>
                      <pic:spPr>
                        <a:xfrm>
                          <a:off x="0" y="0"/>
                          <a:ext cx="382587" cy="87630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Thin" w:cs="Montserrat Thin" w:eastAsia="Montserrat Thin" w:hAnsi="Montserrat Thi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Montserrat Thin" w:cs="Montserrat Thin" w:eastAsia="Montserrat Thin" w:hAnsi="Montserrat Thi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1d91d0"/>
          <w:sz w:val="22"/>
          <w:szCs w:val="22"/>
          <w:u w:val="none"/>
          <w:shd w:fill="auto" w:val="clear"/>
          <w:vertAlign w:val="baseline"/>
          <w:rtl w:val="0"/>
        </w:rPr>
        <w:t xml:space="preserve">SECTION</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264" w:right="0" w:firstLine="0"/>
        <w:jc w:val="left"/>
        <w:rPr>
          <w:rFonts w:ascii="Montserrat SemiBold" w:cs="Montserrat SemiBold" w:eastAsia="Montserrat SemiBold" w:hAnsi="Montserrat SemiBold"/>
          <w:b w:val="1"/>
          <w:i w:val="0"/>
          <w:smallCaps w:val="0"/>
          <w:strike w:val="0"/>
          <w:color w:val="000000"/>
          <w:sz w:val="40"/>
          <w:szCs w:val="40"/>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264" w:right="0" w:firstLine="0"/>
        <w:jc w:val="left"/>
        <w:rPr>
          <w:rFonts w:ascii="Montserrat SemiBold" w:cs="Montserrat SemiBold" w:eastAsia="Montserrat SemiBold" w:hAnsi="Montserrat SemiBold"/>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264" w:right="0" w:firstLine="0"/>
        <w:jc w:val="left"/>
        <w:rPr>
          <w:rFonts w:ascii="Montserrat SemiBold" w:cs="Montserrat SemiBold" w:eastAsia="Montserrat SemiBold" w:hAnsi="Montserrat SemiBold"/>
          <w:b w:val="1"/>
          <w:i w:val="0"/>
          <w:smallCaps w:val="0"/>
          <w:strike w:val="0"/>
          <w:color w:val="000000"/>
          <w:sz w:val="40"/>
          <w:szCs w:val="40"/>
          <w:u w:val="none"/>
          <w:shd w:fill="auto" w:val="clear"/>
          <w:vertAlign w:val="baseline"/>
        </w:rPr>
        <w:sectPr>
          <w:headerReference r:id="rId8" w:type="default"/>
          <w:footerReference r:id="rId9" w:type="default"/>
          <w:pgSz w:h="16840" w:w="11920" w:orient="portrait"/>
          <w:pgMar w:bottom="600" w:top="560" w:left="1300" w:right="1680" w:header="0" w:footer="401"/>
          <w:pgNumType w:start="1"/>
          <w:cols w:equalWidth="0" w:num="2">
            <w:col w:space="125" w:w="4407.5"/>
            <w:col w:space="0" w:w="4407.5"/>
          </w:cols>
        </w:sect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Montserrat SemiBold" w:cs="Montserrat SemiBold" w:eastAsia="Montserrat SemiBold" w:hAnsi="Montserrat SemiBold"/>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9">
      <w:pPr>
        <w:widowControl w:val="0"/>
        <w:spacing w:before="138" w:lineRule="auto"/>
        <w:ind w:left="0" w:firstLine="0"/>
        <w:rPr>
          <w:rFonts w:ascii="Montserrat SemiBold" w:cs="Montserrat SemiBold" w:eastAsia="Montserrat SemiBold" w:hAnsi="Montserrat SemiBold"/>
          <w:b w:val="1"/>
          <w:sz w:val="40"/>
          <w:szCs w:val="40"/>
        </w:rPr>
      </w:pPr>
      <w:r w:rsidDel="00000000" w:rsidR="00000000" w:rsidRPr="00000000">
        <w:rPr>
          <w:rFonts w:ascii="Montserrat SemiBold" w:cs="Montserrat SemiBold" w:eastAsia="Montserrat SemiBold" w:hAnsi="Montserrat SemiBold"/>
          <w:b w:val="1"/>
          <w:color w:val="223e7d"/>
          <w:sz w:val="40"/>
          <w:szCs w:val="40"/>
          <w:rtl w:val="0"/>
        </w:rPr>
        <w:t xml:space="preserve"> DOING THE GROUNDWORK</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Montserrat SemiBold" w:cs="Montserrat SemiBold" w:eastAsia="Montserrat SemiBold" w:hAnsi="Montserrat SemiBold"/>
          <w:b w:val="1"/>
          <w:color w:val="223e7d"/>
          <w:sz w:val="40"/>
          <w:szCs w:val="40"/>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Montserrat SemiBold" w:cs="Montserrat SemiBold" w:eastAsia="Montserrat SemiBold" w:hAnsi="Montserrat SemiBold"/>
          <w:b w:val="1"/>
          <w:i w:val="0"/>
          <w:smallCaps w:val="0"/>
          <w:strike w:val="0"/>
          <w:color w:val="000000"/>
          <w:sz w:val="40"/>
          <w:szCs w:val="40"/>
          <w:u w:val="none"/>
          <w:shd w:fill="auto" w:val="clear"/>
          <w:vertAlign w:val="baseline"/>
        </w:rPr>
      </w:pPr>
      <w:r w:rsidDel="00000000" w:rsidR="00000000" w:rsidRPr="00000000">
        <w:rPr>
          <w:rFonts w:ascii="Montserrat SemiBold" w:cs="Montserrat SemiBold" w:eastAsia="Montserrat SemiBold" w:hAnsi="Montserrat SemiBold"/>
          <w:b w:val="1"/>
          <w:i w:val="0"/>
          <w:smallCaps w:val="0"/>
          <w:strike w:val="0"/>
          <w:color w:val="223e7d"/>
          <w:sz w:val="40"/>
          <w:szCs w:val="40"/>
          <w:u w:val="none"/>
          <w:shd w:fill="auto" w:val="clear"/>
          <w:vertAlign w:val="baseline"/>
          <w:rtl w:val="0"/>
        </w:rPr>
        <w:t xml:space="preserve">Module 1 Mapping the AMR Ecosystem</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17" w:right="1124" w:firstLine="0"/>
        <w:jc w:val="left"/>
        <w:rPr>
          <w:rFonts w:ascii="Montserrat SemiBold" w:cs="Montserrat SemiBold" w:eastAsia="Montserrat SemiBold" w:hAnsi="Montserrat SemiBold"/>
          <w:b w:val="1"/>
          <w:sz w:val="40"/>
          <w:szCs w:val="4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17" w:right="1124" w:firstLine="0"/>
        <w:jc w:val="left"/>
        <w:rPr>
          <w:rFonts w:ascii="Montserrat SemiBold" w:cs="Montserrat SemiBold" w:eastAsia="Montserrat SemiBold" w:hAnsi="Montserrat SemiBold"/>
          <w:b w:val="1"/>
          <w:i w:val="0"/>
          <w:smallCaps w:val="0"/>
          <w:strike w:val="0"/>
          <w:color w:val="1d91d0"/>
          <w:sz w:val="30"/>
          <w:szCs w:val="30"/>
          <w:u w:val="none"/>
          <w:shd w:fill="auto" w:val="clear"/>
          <w:vertAlign w:val="baseline"/>
        </w:rPr>
      </w:pPr>
      <w:r w:rsidDel="00000000" w:rsidR="00000000" w:rsidRPr="00000000">
        <w:rPr>
          <w:rFonts w:ascii="Montserrat SemiBold" w:cs="Montserrat SemiBold" w:eastAsia="Montserrat SemiBold" w:hAnsi="Montserrat SemiBold"/>
          <w:b w:val="1"/>
          <w:i w:val="0"/>
          <w:smallCaps w:val="0"/>
          <w:strike w:val="0"/>
          <w:color w:val="1d91d0"/>
          <w:sz w:val="30"/>
          <w:szCs w:val="30"/>
          <w:u w:val="none"/>
          <w:shd w:fill="auto" w:val="clear"/>
          <w:vertAlign w:val="baseline"/>
          <w:rtl w:val="0"/>
        </w:rPr>
        <w:t xml:space="preserve">How to find AMR Policies, Frameworks, and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117" w:right="1124" w:firstLine="0"/>
        <w:jc w:val="left"/>
        <w:rPr>
          <w:rFonts w:ascii="Montserrat SemiBold" w:cs="Montserrat SemiBold" w:eastAsia="Montserrat SemiBold" w:hAnsi="Montserrat SemiBold"/>
          <w:b w:val="1"/>
          <w:i w:val="0"/>
          <w:smallCaps w:val="0"/>
          <w:strike w:val="0"/>
          <w:color w:val="000000"/>
          <w:sz w:val="30"/>
          <w:szCs w:val="30"/>
          <w:u w:val="none"/>
          <w:shd w:fill="auto" w:val="clear"/>
          <w:vertAlign w:val="baseline"/>
        </w:rPr>
      </w:pPr>
      <w:r w:rsidDel="00000000" w:rsidR="00000000" w:rsidRPr="00000000">
        <w:rPr>
          <w:rFonts w:ascii="Montserrat SemiBold" w:cs="Montserrat SemiBold" w:eastAsia="Montserrat SemiBold" w:hAnsi="Montserrat SemiBold"/>
          <w:b w:val="1"/>
          <w:i w:val="0"/>
          <w:smallCaps w:val="0"/>
          <w:strike w:val="0"/>
          <w:color w:val="1d91d0"/>
          <w:sz w:val="30"/>
          <w:szCs w:val="30"/>
          <w:u w:val="none"/>
          <w:shd w:fill="auto" w:val="clear"/>
          <w:vertAlign w:val="baseline"/>
          <w:rtl w:val="0"/>
        </w:rPr>
        <w:t xml:space="preserve">Action Plans</w:t>
      </w:r>
      <w:r w:rsidDel="00000000" w:rsidR="00000000" w:rsidRPr="00000000">
        <w:rPr>
          <w:rtl w:val="0"/>
        </w:rPr>
      </w:r>
    </w:p>
    <w:p w:rsidR="00000000" w:rsidDel="00000000" w:rsidP="00000000" w:rsidRDefault="00000000" w:rsidRPr="00000000" w14:paraId="0000000F">
      <w:pPr>
        <w:widowControl w:val="0"/>
        <w:spacing w:before="127" w:lineRule="auto"/>
        <w:ind w:left="0" w:firstLine="0"/>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10">
      <w:pPr>
        <w:widowControl w:val="0"/>
        <w:spacing w:before="127" w:lineRule="auto"/>
        <w:rPr>
          <w:rFonts w:ascii="Montserrat SemiBold" w:cs="Montserrat SemiBold" w:eastAsia="Montserrat SemiBold" w:hAnsi="Montserrat SemiBold"/>
          <w:b w:val="1"/>
          <w:sz w:val="20"/>
          <w:szCs w:val="20"/>
        </w:rPr>
      </w:pPr>
      <w:r w:rsidDel="00000000" w:rsidR="00000000" w:rsidRPr="00000000">
        <w:rPr>
          <w:rtl w:val="0"/>
        </w:rPr>
      </w:r>
    </w:p>
    <w:tbl>
      <w:tblPr>
        <w:tblStyle w:val="Table1"/>
        <w:tblpPr w:leftFromText="180" w:rightFromText="180" w:topFromText="180" w:bottomFromText="180" w:vertAnchor="text" w:horzAnchor="text" w:tblpX="110.00000000000057" w:tblpY="0"/>
        <w:tblW w:w="7920.0" w:type="dxa"/>
        <w:jc w:val="left"/>
        <w:tblInd w:w="451.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140"/>
        <w:gridCol w:w="3780"/>
        <w:tblGridChange w:id="0">
          <w:tblGrid>
            <w:gridCol w:w="4140"/>
            <w:gridCol w:w="3780"/>
          </w:tblGrid>
        </w:tblGridChange>
      </w:tblGrid>
      <w:tr>
        <w:trPr>
          <w:cantSplit w:val="0"/>
          <w:tblHeader w:val="0"/>
        </w:trPr>
        <w:tc>
          <w:tcPr>
            <w:tcBorders>
              <w:top w:color="1d91d0" w:space="0" w:sz="4" w:val="single"/>
              <w:left w:color="1d91d0" w:space="0" w:sz="4" w:val="single"/>
              <w:bottom w:color="1d91d0" w:space="0" w:sz="4" w:val="single"/>
              <w:right w:color="1d91d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11">
            <w:pPr>
              <w:widowControl w:val="0"/>
              <w:spacing w:before="75" w:line="242" w:lineRule="auto"/>
              <w:ind w:left="79" w:right="329" w:firstLine="0"/>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Department of Global Coordination and Partnership (GCP) on AMR</w:t>
            </w:r>
          </w:p>
          <w:p w:rsidR="00000000" w:rsidDel="00000000" w:rsidP="00000000" w:rsidRDefault="00000000" w:rsidRPr="00000000" w14:paraId="00000012">
            <w:pPr>
              <w:widowControl w:val="0"/>
              <w:spacing w:before="1" w:line="242" w:lineRule="auto"/>
              <w:ind w:left="79" w:right="311"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See: </w:t>
            </w:r>
            <w:r w:rsidDel="00000000" w:rsidR="00000000" w:rsidRPr="00000000">
              <w:rPr>
                <w:rFonts w:ascii="Montserrat" w:cs="Montserrat" w:eastAsia="Montserrat" w:hAnsi="Montserrat"/>
                <w:color w:val="223e7d"/>
                <w:sz w:val="16"/>
                <w:szCs w:val="16"/>
                <w:rtl w:val="0"/>
              </w:rPr>
              <w:t xml:space="preserve">https://</w:t>
            </w:r>
            <w:hyperlink r:id="rId10">
              <w:r w:rsidDel="00000000" w:rsidR="00000000" w:rsidRPr="00000000">
                <w:rPr>
                  <w:rFonts w:ascii="Montserrat" w:cs="Montserrat" w:eastAsia="Montserrat" w:hAnsi="Montserrat"/>
                  <w:color w:val="223e7d"/>
                  <w:sz w:val="16"/>
                  <w:szCs w:val="16"/>
                  <w:rtl w:val="0"/>
                </w:rPr>
                <w:t xml:space="preserve">www.who.int/teams/maternal-</w:t>
              </w:r>
            </w:hyperlink>
            <w:r w:rsidDel="00000000" w:rsidR="00000000" w:rsidRPr="00000000">
              <w:rPr>
                <w:rFonts w:ascii="Montserrat" w:cs="Montserrat" w:eastAsia="Montserrat" w:hAnsi="Montserrat"/>
                <w:color w:val="223e7d"/>
                <w:sz w:val="16"/>
                <w:szCs w:val="16"/>
                <w:rtl w:val="0"/>
              </w:rPr>
              <w:t xml:space="preserve"> newborn-child-adolescent-health-</w:t>
            </w:r>
            <w:r w:rsidDel="00000000" w:rsidR="00000000" w:rsidRPr="00000000">
              <w:rPr>
                <w:rtl w:val="0"/>
              </w:rPr>
            </w:r>
          </w:p>
          <w:p w:rsidR="00000000" w:rsidDel="00000000" w:rsidP="00000000" w:rsidRDefault="00000000" w:rsidRPr="00000000" w14:paraId="00000013">
            <w:pPr>
              <w:widowControl w:val="0"/>
              <w:spacing w:before="1" w:line="242" w:lineRule="auto"/>
              <w:ind w:left="79" w:right="657" w:firstLine="0"/>
              <w:rPr>
                <w:rFonts w:ascii="Montserrat" w:cs="Montserrat" w:eastAsia="Montserrat" w:hAnsi="Montserrat"/>
                <w:sz w:val="16"/>
                <w:szCs w:val="16"/>
              </w:rPr>
            </w:pPr>
            <w:r w:rsidDel="00000000" w:rsidR="00000000" w:rsidRPr="00000000">
              <w:rPr>
                <w:rFonts w:ascii="Montserrat" w:cs="Montserrat" w:eastAsia="Montserrat" w:hAnsi="Montserrat"/>
                <w:color w:val="223e7d"/>
                <w:sz w:val="16"/>
                <w:szCs w:val="16"/>
                <w:rtl w:val="0"/>
              </w:rPr>
              <w:t xml:space="preserve">and-ageing/maternal-health/about/ global-coordination-and-partnership- (gcp)-on-antimicrobial-resistance-</w:t>
            </w:r>
            <w:r w:rsidDel="00000000" w:rsidR="00000000" w:rsidRPr="00000000">
              <w:rPr>
                <w:rtl w:val="0"/>
              </w:rPr>
            </w:r>
          </w:p>
          <w:p w:rsidR="00000000" w:rsidDel="00000000" w:rsidP="00000000" w:rsidRDefault="00000000" w:rsidRPr="00000000" w14:paraId="00000014">
            <w:pPr>
              <w:widowControl w:val="0"/>
              <w:spacing w:before="2" w:line="242" w:lineRule="auto"/>
              <w:ind w:left="79" w:right="101" w:firstLine="0"/>
              <w:rPr>
                <w:rFonts w:ascii="Montserrat" w:cs="Montserrat" w:eastAsia="Montserrat" w:hAnsi="Montserrat"/>
                <w:sz w:val="16"/>
                <w:szCs w:val="16"/>
              </w:rPr>
            </w:pPr>
            <w:r w:rsidDel="00000000" w:rsidR="00000000" w:rsidRPr="00000000">
              <w:rPr>
                <w:rFonts w:ascii="Montserrat" w:cs="Montserrat" w:eastAsia="Montserrat" w:hAnsi="Montserrat"/>
                <w:color w:val="223e7d"/>
                <w:sz w:val="16"/>
                <w:szCs w:val="16"/>
                <w:rtl w:val="0"/>
              </w:rPr>
              <w:t xml:space="preserve">(amr)#:~:text=The%20Department%20of%20 Global%20Coordination,UN)%20as%20 well%20as%20other</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15">
            <w:pPr>
              <w:widowControl w:val="0"/>
              <w:spacing w:before="74" w:line="242" w:lineRule="auto"/>
              <w:ind w:left="80" w:right="101"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This organisation leads and co-ordinates the global One Health multi-sectoral response to AMR in co-operation with the Food and Agriculture Organization (FAO), the World Organisation for Animal Health (OIE), the United Nations (UN), as well as other agencies, civil society, and the private sector, towards a world free from the suffering of drug-resistant infections.</w:t>
            </w:r>
          </w:p>
        </w:tc>
      </w:tr>
      <w:tr>
        <w:trPr>
          <w:cantSplit w:val="0"/>
          <w:tblHeader w:val="0"/>
        </w:trPr>
        <w:tc>
          <w:tcPr>
            <w:tcBorders>
              <w:top w:color="1d91d0" w:space="0" w:sz="4" w:val="single"/>
              <w:left w:color="1d91d0" w:space="0" w:sz="4" w:val="single"/>
              <w:bottom w:color="1d91d0" w:space="0" w:sz="4" w:val="single"/>
              <w:right w:color="1d91d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16">
            <w:pPr>
              <w:widowControl w:val="0"/>
              <w:spacing w:before="74" w:line="242" w:lineRule="auto"/>
              <w:ind w:left="79" w:right="329" w:firstLine="0"/>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Government health and agriculture departments</w:t>
            </w:r>
          </w:p>
        </w:tc>
        <w:tc>
          <w:tcPr>
            <w:tcBorders>
              <w:top w:color="1d91d0" w:space="0" w:sz="4" w:val="single"/>
              <w:left w:color="1d91d0" w:space="0" w:sz="4" w:val="single"/>
              <w:bottom w:color="1d91d0" w:space="0" w:sz="4" w:val="single"/>
              <w:right w:color="1d91d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17">
            <w:pPr>
              <w:widowControl w:val="0"/>
              <w:spacing w:before="74" w:line="242" w:lineRule="auto"/>
              <w:ind w:left="80" w:right="101"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Visit the official websites of the health and agriculture departments of the country.</w:t>
            </w:r>
          </w:p>
          <w:p w:rsidR="00000000" w:rsidDel="00000000" w:rsidP="00000000" w:rsidRDefault="00000000" w:rsidRPr="00000000" w14:paraId="00000018">
            <w:pPr>
              <w:widowControl w:val="0"/>
              <w:spacing w:before="1" w:line="242" w:lineRule="auto"/>
              <w:ind w:left="80" w:right="329"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These departments often publish and provide access to AMR national policies, strategies, and action plans.</w:t>
            </w:r>
          </w:p>
        </w:tc>
      </w:tr>
      <w:tr>
        <w:trPr>
          <w:cantSplit w:val="0"/>
          <w:tblHeader w:val="0"/>
        </w:trPr>
        <w:tc>
          <w:tcPr>
            <w:tcBorders>
              <w:top w:color="1d91d0" w:space="0" w:sz="4" w:val="single"/>
              <w:left w:color="1d91d0" w:space="0" w:sz="4" w:val="single"/>
              <w:bottom w:color="1d91d0" w:space="0" w:sz="4" w:val="single"/>
              <w:right w:color="1d91d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19">
            <w:pPr>
              <w:widowControl w:val="0"/>
              <w:spacing w:before="73" w:lineRule="auto"/>
              <w:ind w:left="79" w:firstLine="0"/>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National health agencies</w:t>
            </w:r>
          </w:p>
        </w:tc>
        <w:tc>
          <w:tcPr>
            <w:tcBorders>
              <w:top w:color="1d91d0" w:space="0" w:sz="4" w:val="single"/>
              <w:left w:color="1d91d0" w:space="0" w:sz="4" w:val="single"/>
              <w:bottom w:color="1d91d0" w:space="0" w:sz="4" w:val="single"/>
              <w:right w:color="1d91d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1A">
            <w:pPr>
              <w:widowControl w:val="0"/>
              <w:spacing w:before="73" w:line="242" w:lineRule="auto"/>
              <w:ind w:left="80" w:right="101"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These agencies may have specific divisions or programmes focused on AMR. They often develop and publish AMR national policies, frameworks, and action plans.</w:t>
            </w:r>
          </w:p>
          <w:p w:rsidR="00000000" w:rsidDel="00000000" w:rsidP="00000000" w:rsidRDefault="00000000" w:rsidRPr="00000000" w14:paraId="0000001B">
            <w:pPr>
              <w:widowControl w:val="0"/>
              <w:spacing w:before="116" w:line="242" w:lineRule="auto"/>
              <w:ind w:left="80" w:right="329"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Search for relevant documents or publications on their websites.</w:t>
            </w:r>
          </w:p>
        </w:tc>
      </w:tr>
      <w:tr>
        <w:trPr>
          <w:cantSplit w:val="0"/>
          <w:tblHeader w:val="0"/>
        </w:trPr>
        <w:tc>
          <w:tcPr>
            <w:tcBorders>
              <w:top w:color="1d91d0" w:space="0" w:sz="4" w:val="single"/>
              <w:left w:color="1d91d0" w:space="0" w:sz="4" w:val="single"/>
              <w:bottom w:color="1d91d0" w:space="0" w:sz="4" w:val="single"/>
              <w:right w:color="1d91d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1C">
            <w:pPr>
              <w:widowControl w:val="0"/>
              <w:spacing w:before="73" w:lineRule="auto"/>
              <w:ind w:left="79" w:firstLine="0"/>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National AMR co-ordination bodies</w:t>
            </w:r>
          </w:p>
        </w:tc>
        <w:tc>
          <w:tcPr>
            <w:tcBorders>
              <w:top w:color="1d91d0" w:space="0" w:sz="4" w:val="single"/>
              <w:left w:color="1d91d0" w:space="0" w:sz="4" w:val="single"/>
              <w:bottom w:color="1d91d0" w:space="0" w:sz="4" w:val="single"/>
              <w:right w:color="1d91d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1D">
            <w:pPr>
              <w:widowControl w:val="0"/>
              <w:spacing w:before="73" w:line="242" w:lineRule="auto"/>
              <w:ind w:left="80" w:right="329"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Many countries have established national bodies or committees dedicated to co- ordinating efforts to combat AMR. These bodies often develop and oversee the implementation of national AMR policies and action plans.</w:t>
            </w:r>
          </w:p>
        </w:tc>
      </w:tr>
      <w:tr>
        <w:trPr>
          <w:cantSplit w:val="0"/>
          <w:tblHeader w:val="0"/>
        </w:trPr>
        <w:tc>
          <w:tcPr>
            <w:tcBorders>
              <w:top w:color="1d91d0" w:space="0" w:sz="4" w:val="single"/>
              <w:left w:color="1d91d0" w:space="0" w:sz="4" w:val="single"/>
              <w:bottom w:color="1d91d0" w:space="0" w:sz="4" w:val="single"/>
              <w:right w:color="1d91d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1E">
            <w:pPr>
              <w:widowControl w:val="0"/>
              <w:spacing w:before="73" w:lineRule="auto"/>
              <w:ind w:left="79" w:firstLine="0"/>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Research and academic institutions</w:t>
            </w:r>
          </w:p>
        </w:tc>
        <w:tc>
          <w:tcPr>
            <w:tcBorders>
              <w:top w:color="1d91d0" w:space="0" w:sz="4" w:val="single"/>
              <w:left w:color="1d91d0" w:space="0" w:sz="4" w:val="single"/>
              <w:bottom w:color="1d91d0" w:space="0" w:sz="4" w:val="single"/>
              <w:right w:color="1d91d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1F">
            <w:pPr>
              <w:widowControl w:val="0"/>
              <w:spacing w:before="73" w:line="242" w:lineRule="auto"/>
              <w:ind w:left="80" w:right="329"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These institutions study AMR and may publish reports on national AMR policies and frameworks.</w:t>
            </w:r>
          </w:p>
          <w:p w:rsidR="00000000" w:rsidDel="00000000" w:rsidP="00000000" w:rsidRDefault="00000000" w:rsidRPr="00000000" w14:paraId="00000020">
            <w:pPr>
              <w:widowControl w:val="0"/>
              <w:spacing w:before="115" w:line="242" w:lineRule="auto"/>
              <w:ind w:left="80" w:right="112"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Check the websites of reputable institutions in the country or search academic databases for relevant research papers.</w:t>
            </w:r>
          </w:p>
        </w:tc>
      </w:tr>
    </w:tbl>
    <w:p w:rsidR="00000000" w:rsidDel="00000000" w:rsidP="00000000" w:rsidRDefault="00000000" w:rsidRPr="00000000" w14:paraId="00000021">
      <w:pPr>
        <w:widowControl w:val="0"/>
        <w:spacing w:before="127" w:lineRule="auto"/>
        <w:ind w:left="343"/>
        <w:rPr>
          <w:rFonts w:ascii="Montserrat SemiBold" w:cs="Montserrat SemiBold" w:eastAsia="Montserrat SemiBold" w:hAnsi="Montserrat SemiBold"/>
          <w:b w:val="1"/>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SemiBold" w:cs="Montserrat SemiBold" w:eastAsia="Montserrat SemiBold" w:hAnsi="Montserrat SemiBold"/>
          <w:b w:val="1"/>
          <w:sz w:val="18"/>
          <w:szCs w:val="18"/>
        </w:rPr>
      </w:pPr>
      <w:r w:rsidDel="00000000" w:rsidR="00000000" w:rsidRPr="00000000">
        <w:rPr>
          <w:rtl w:val="0"/>
        </w:rPr>
      </w:r>
    </w:p>
    <w:tbl>
      <w:tblPr>
        <w:tblStyle w:val="Table2"/>
        <w:tblW w:w="7916.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958"/>
        <w:gridCol w:w="3958"/>
        <w:tblGridChange w:id="0">
          <w:tblGrid>
            <w:gridCol w:w="3958"/>
            <w:gridCol w:w="3958"/>
          </w:tblGrid>
        </w:tblGridChange>
      </w:tblGrid>
      <w:tr>
        <w:trPr>
          <w:cantSplit w:val="0"/>
          <w:trHeight w:val="1965" w:hRule="atLeast"/>
          <w:tblHeader w:val="0"/>
        </w:trPr>
        <w:tc>
          <w:tcPr>
            <w:tcBorders>
              <w:top w:color="1d91d0" w:space="0" w:sz="4" w:val="single"/>
              <w:left w:color="1d91d0" w:space="0" w:sz="4" w:val="single"/>
              <w:bottom w:color="1d91d0" w:space="0" w:sz="4" w:val="single"/>
              <w:right w:color="1d91d0" w:space="0" w:sz="4" w:val="single"/>
            </w:tcBorders>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D">
            <w:pPr>
              <w:widowControl w:val="0"/>
              <w:spacing w:before="75" w:lineRule="auto"/>
              <w:ind w:left="80" w:firstLine="0"/>
              <w:rPr>
                <w:rFonts w:ascii="Montserrat" w:cs="Montserrat" w:eastAsia="Montserrat" w:hAnsi="Montserrat"/>
                <w:b w:val="1"/>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1"/>
                <w:sz w:val="16"/>
                <w:szCs w:val="16"/>
                <w:rtl w:val="0"/>
              </w:rPr>
              <w:t xml:space="preserve">National AMR reports and publications</w:t>
            </w:r>
            <w:r w:rsidDel="00000000" w:rsidR="00000000" w:rsidRPr="00000000">
              <w:rPr>
                <w:rtl w:val="0"/>
              </w:rPr>
            </w:r>
          </w:p>
        </w:tc>
        <w:tc>
          <w:tcPr>
            <w:tcBorders>
              <w:top w:color="1d91d0" w:space="0" w:sz="4" w:val="single"/>
              <w:left w:color="1d91d0" w:space="0" w:sz="4" w:val="single"/>
              <w:bottom w:color="1d91d0" w:space="0" w:sz="4" w:val="single"/>
              <w:right w:color="1d91d0" w:space="0" w:sz="4" w:val="single"/>
            </w:tcBorders>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E">
            <w:pPr>
              <w:widowControl w:val="0"/>
              <w:spacing w:before="75" w:line="242" w:lineRule="auto"/>
              <w:ind w:left="80" w:right="101"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National health departments/agencies may publish periodic reports or publications on AMR, which may include policy updates and action plans.</w:t>
            </w:r>
          </w:p>
          <w:p w:rsidR="00000000" w:rsidDel="00000000" w:rsidP="00000000" w:rsidRDefault="00000000" w:rsidRPr="00000000" w14:paraId="0000004F">
            <w:pPr>
              <w:widowControl w:val="0"/>
              <w:spacing w:before="116" w:line="242" w:lineRule="auto"/>
              <w:ind w:left="80" w:right="112"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Look for official reports on AMR surveillance, antimicrobial use, or infectious disease control, as these documents often contain policy-related information.</w:t>
            </w:r>
          </w:p>
        </w:tc>
      </w:tr>
      <w:tr>
        <w:trPr>
          <w:cantSplit w:val="0"/>
          <w:tblHeader w:val="0"/>
        </w:trPr>
        <w:tc>
          <w:tcPr>
            <w:tcBorders>
              <w:top w:color="1d91d0" w:space="0" w:sz="4" w:val="single"/>
              <w:left w:color="1d91d0" w:space="0" w:sz="4" w:val="single"/>
              <w:bottom w:color="1d91d0" w:space="0" w:sz="4" w:val="single"/>
              <w:right w:color="1d91d0" w:space="0" w:sz="4" w:val="single"/>
            </w:tcBorders>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Montserrat" w:cs="Montserrat" w:eastAsia="Montserrat" w:hAnsi="Montserrat"/>
                <w:b w:val="1"/>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6"/>
                <w:szCs w:val="16"/>
                <w:u w:val="none"/>
                <w:shd w:fill="auto" w:val="clear"/>
                <w:vertAlign w:val="baseline"/>
                <w:rtl w:val="0"/>
              </w:rPr>
              <w:t xml:space="preserve">International organisations</w:t>
            </w:r>
          </w:p>
        </w:tc>
        <w:tc>
          <w:tcPr>
            <w:tcBorders>
              <w:top w:color="1d91d0" w:space="0" w:sz="4" w:val="single"/>
              <w:left w:color="1d91d0" w:space="0" w:sz="4" w:val="single"/>
              <w:bottom w:color="1d91d0" w:space="0" w:sz="4" w:val="single"/>
              <w:right w:color="1d91d0" w:space="0" w:sz="4" w:val="single"/>
            </w:tcBorders>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2" w:lineRule="auto"/>
              <w:ind w:left="80" w:right="13" w:firstLine="0"/>
              <w:jc w:val="left"/>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International organisations, such as the World Health Organization (WHO), Food and Agriculture Organization (FAO), and World Organisation for Animal Health (OIE), work closely with member countries to develop AMR guidelines and policies. Their websites often provide access to national policies and action plans of member countries.</w:t>
            </w:r>
          </w:p>
        </w:tc>
      </w:tr>
      <w:tr>
        <w:trPr>
          <w:cantSplit w:val="0"/>
          <w:tblHeader w:val="0"/>
        </w:trPr>
        <w:tc>
          <w:tcPr>
            <w:tcBorders>
              <w:top w:color="1d91d0" w:space="0" w:sz="4" w:val="single"/>
              <w:left w:color="1d91d0" w:space="0" w:sz="4" w:val="single"/>
              <w:bottom w:color="1d91d0" w:space="0" w:sz="4" w:val="single"/>
              <w:right w:color="1d91d0" w:space="0" w:sz="4" w:val="single"/>
            </w:tcBorders>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0" w:right="0" w:firstLine="0"/>
              <w:jc w:val="left"/>
              <w:rPr>
                <w:rFonts w:ascii="Montserrat" w:cs="Montserrat" w:eastAsia="Montserrat" w:hAnsi="Montserrat"/>
                <w:b w:val="1"/>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6"/>
                <w:szCs w:val="16"/>
                <w:u w:val="none"/>
                <w:shd w:fill="auto" w:val="clear"/>
                <w:vertAlign w:val="baseline"/>
                <w:rtl w:val="0"/>
              </w:rPr>
              <w:t xml:space="preserve">Online databases and platforms</w:t>
            </w:r>
          </w:p>
        </w:tc>
        <w:tc>
          <w:tcPr>
            <w:tcBorders>
              <w:top w:color="1d91d0" w:space="0" w:sz="4" w:val="single"/>
              <w:left w:color="1d91d0" w:space="0" w:sz="4" w:val="single"/>
              <w:bottom w:color="1d91d0" w:space="0" w:sz="4" w:val="single"/>
              <w:right w:color="1d91d0" w:space="0" w:sz="4" w:val="single"/>
            </w:tcBorders>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2" w:lineRule="auto"/>
              <w:ind w:left="80" w:right="101" w:firstLine="0"/>
              <w:jc w:val="left"/>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i w:val="0"/>
                <w:smallCaps w:val="0"/>
                <w:strike w:val="0"/>
                <w:color w:val="000000"/>
                <w:sz w:val="16"/>
                <w:szCs w:val="16"/>
                <w:u w:val="none"/>
                <w:shd w:fill="auto" w:val="clear"/>
                <w:vertAlign w:val="baseline"/>
                <w:rtl w:val="0"/>
              </w:rPr>
              <w:t xml:space="preserve">Some online databases and platforms collect and provide access to national AMR policies and frameworks, e.g. WHO’s Global Antimicrobial Resistance Surveillance System (GLASS).</w:t>
            </w:r>
          </w:p>
        </w:tc>
      </w:tr>
    </w:tbl>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left"/>
        <w:rPr>
          <w:rFonts w:ascii="Montserrat" w:cs="Montserrat" w:eastAsia="Montserrat" w:hAnsi="Montserrat"/>
          <w:i w:val="0"/>
          <w:smallCaps w:val="0"/>
          <w:strike w:val="0"/>
          <w:color w:val="000000"/>
          <w:sz w:val="16"/>
          <w:szCs w:val="16"/>
          <w:u w:val="none"/>
          <w:shd w:fill="auto" w:val="clear"/>
          <w:vertAlign w:val="baseline"/>
        </w:rPr>
      </w:pPr>
      <w:r w:rsidDel="00000000" w:rsidR="00000000" w:rsidRPr="00000000">
        <w:rPr>
          <w:rtl w:val="0"/>
        </w:rPr>
      </w:r>
    </w:p>
    <w:sectPr>
      <w:type w:val="continuous"/>
      <w:pgSz w:h="16840" w:w="11920" w:orient="portrait"/>
      <w:pgMar w:bottom="600" w:top="560" w:left="1300" w:right="1680" w:header="0" w:footer="40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Montserrat Thin">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right" w:leader="none" w:pos="89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cap="flat" w14:w="12700">
        <w14:noFill/>
        <w14:miter w14:lim="400000"/>
      </w14:textOutline>
    </w:rPr>
  </w:style>
  <w:style w:type="paragraph" w:styleId="Body A">
    <w:name w:val="Body A"/>
    <w:next w:val="Body A"/>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cap="flat" w14:w="12700">
        <w14:noFill/>
        <w14:miter w14:lim="400000"/>
      </w14:textOutline>
    </w:rPr>
  </w:style>
  <w:style w:type="paragraph" w:styleId="Body Text">
    <w:name w:val="Body Text"/>
    <w:next w:val="Body Text"/>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Montserrat SemiBold" w:cs="Montserrat SemiBold" w:eastAsia="Montserrat SemiBold" w:hAnsi="Montserrat SemiBold"/>
      <w:b w:val="1"/>
      <w:bCs w:val="1"/>
      <w:i w:val="0"/>
      <w:iCs w:val="0"/>
      <w:caps w:val="0"/>
      <w:smallCaps w:val="0"/>
      <w:strike w:val="0"/>
      <w:dstrike w:val="0"/>
      <w:outline w:val="0"/>
      <w:color w:val="000000"/>
      <w:spacing w:val="0"/>
      <w:kern w:val="0"/>
      <w:position w:val="0"/>
      <w:sz w:val="40"/>
      <w:szCs w:val="40"/>
      <w:u w:color="000000" w:val="none"/>
      <w:shd w:color="auto" w:fill="auto" w:val="nil"/>
      <w:vertAlign w:val="baseline"/>
      <w:lang w:val="en-US"/>
      <w14:textFill>
        <w14:solidFill>
          <w14:srgbClr w14:val="000000"/>
        </w14:solidFill>
      </w14:textFill>
    </w:rPr>
  </w:style>
  <w:style w:type="paragraph" w:styleId="Table Paragraph">
    <w:name w:val="Table Paragraph"/>
    <w:next w:val="Table Paragraph"/>
    <w:pPr>
      <w:keepNext w:val="0"/>
      <w:keepLines w:val="0"/>
      <w:pageBreakBefore w:val="0"/>
      <w:widowControl w:val="0"/>
      <w:shd w:color="auto" w:fill="auto" w:val="clear"/>
      <w:suppressAutoHyphens w:val="0"/>
      <w:bidi w:val="0"/>
      <w:spacing w:after="0" w:before="74" w:line="240" w:lineRule="auto"/>
      <w:ind w:left="80" w:right="0" w:firstLine="0"/>
      <w:jc w:val="left"/>
      <w:outlineLvl w:val="9"/>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223e7d"/>
      <w:spacing w:val="0"/>
      <w:u w:color="223e7d"/>
      <w:lang w:val="en-US"/>
      <w14:textFill>
        <w14:solidFill>
          <w14:srgbClr w14:val="223E7D"/>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0" Type="http://schemas.openxmlformats.org/officeDocument/2006/relationships/hyperlink" Target="http://www.who.int/teams/matern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HelveticaNeue-italic.ttf"/><Relationship Id="rId10" Type="http://schemas.openxmlformats.org/officeDocument/2006/relationships/font" Target="fonts/HelveticaNeue-bold.ttf"/><Relationship Id="rId13" Type="http://schemas.openxmlformats.org/officeDocument/2006/relationships/font" Target="fonts/MontserratThin-regular.ttf"/><Relationship Id="rId12" Type="http://schemas.openxmlformats.org/officeDocument/2006/relationships/font" Target="fonts/HelveticaNeue-boldItalic.ttf"/><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9" Type="http://schemas.openxmlformats.org/officeDocument/2006/relationships/font" Target="fonts/HelveticaNeue-regular.ttf"/><Relationship Id="rId15" Type="http://schemas.openxmlformats.org/officeDocument/2006/relationships/font" Target="fonts/MontserratThin-italic.ttf"/><Relationship Id="rId14" Type="http://schemas.openxmlformats.org/officeDocument/2006/relationships/font" Target="fonts/MontserratThin-bold.ttf"/><Relationship Id="rId16" Type="http://schemas.openxmlformats.org/officeDocument/2006/relationships/font" Target="fonts/MontserratThin-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Tzf2diDqXNqdcRdkO1DXonLbQ==">CgMxLjA4AHIhMW5SMmh6Vlc1SWVuSVlWUWtQbnQxM3RhN0pkY1FqSEJo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