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color w:val="223e7d"/>
          <w:u w:val="none"/>
          <w:rtl w:val="0"/>
        </w:rPr>
        <w:t xml:space="preserve">FURTHER 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AMR and One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ICARS. (2023).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Antimicrobial Resistance: A threat to the health of humans, animals, crops and the environment.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https://icars-global.org/what-we-do/threat-of-amr/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1184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Lancet.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 (2022). Antimicrobial Resistance Collaborators. Global burden of bacterial antimicrobial resistance in 2019: a systematic analysis.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Lancet.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 2022 Feb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12;399(10325):629-655. doi: 10.1016/S0140-6736(21)02724-0. Epub 2022 Jan 19. Erratum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in: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 Lancet.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2022 Oct 1;400(10358):1102. PMID: 35065702; PMCID: PMC8841637.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80" w:lineRule="auto"/>
        <w:ind w:left="117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ReAct group. (2016).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12121"/>
          <w:sz w:val="16"/>
          <w:szCs w:val="16"/>
          <w:u w:val="none"/>
          <w:shd w:fill="auto" w:val="clear"/>
          <w:vertAlign w:val="baseline"/>
          <w:rtl w:val="0"/>
        </w:rPr>
        <w:t xml:space="preserve">AMR stakeholder mapping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7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www.reactgroup.org/</w:t>
        </w:r>
      </w:hyperlink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 uploads/Stakeholder%20Analysis_ReActForWHO.pdf.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1106" w:firstLine="0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ReAct group. (2019). New ReAct Report: When the Drugs Don’t Work – Antibiotic Resistance as a Global Development Problem.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8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www.reactgroup.org/news-</w:t>
        </w:r>
      </w:hyperlink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 and-views/news-and-opinions/year-2019/new-react-report-when-the-drugs-dont- work-antibiotic-resistance-as-a-development-problem/.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Community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40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CE4AMR. (2021).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Handbook of Community Engagement for Antimicrobial Resistance.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https://ce4amr.leeds.ac.uk/wp-content/uploads/sites/84/2021/11/ CE4AMR-Handbook.pdf.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Chen, E., Leos, C., Kowitt, S. D. &amp; Moracco, K. E. (2020). Enhancing Community- Based Participatory Research through Human-Centered Design Strategies.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Health Promotion Practice,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21(1), 37–48.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https://doi.org/10.1177/1524839919850557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1184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Leung, M. W., Yen, I. H. &amp; Minkler, M. (2004). Community-based participatory research: A promising approach for increasing epidemiology’s relevance in the 21st century.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International Journal of Epidemiology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33(3), 499–506.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https://doi. org/10.1093/ije/dyh010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Disseminating evidence to a wider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1184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Brownson, R. C., Eyler, A. A., Harris, J. K, Moore, J. B. &amp; Tabak, R. G. (2018). Getting the Word Out: New Approaches for Disseminating Public Health Science.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Journal of Public Health Management and Practice,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24(2), 102–111.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DOI: 10.1097/ PHH.0000000000000673.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Engaging communities</w:t>
      </w:r>
    </w:p>
    <w:p w:rsidR="00000000" w:rsidDel="00000000" w:rsidP="00000000" w:rsidRDefault="00000000" w:rsidRPr="00000000" w14:paraId="00000018">
      <w:pPr>
        <w:widowControl w:val="0"/>
        <w:spacing w:before="1" w:line="280" w:lineRule="auto"/>
        <w:ind w:left="117" w:right="1210" w:firstLine="0"/>
        <w:jc w:val="both"/>
        <w:rPr>
          <w:rFonts w:ascii="Montserrat" w:cs="Montserrat" w:eastAsia="Montserrat" w:hAnsi="Montserrat"/>
          <w:color w:val="17181c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" w:line="280" w:lineRule="auto"/>
        <w:ind w:left="117" w:right="1210" w:firstLine="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17181c"/>
          <w:sz w:val="16"/>
          <w:szCs w:val="16"/>
          <w:rtl w:val="0"/>
        </w:rPr>
        <w:t xml:space="preserve">CitizenLab. (2023).</w:t>
      </w:r>
      <w:r w:rsidDel="00000000" w:rsidR="00000000" w:rsidRPr="00000000">
        <w:rPr>
          <w:rFonts w:ascii="Montserrat" w:cs="Montserrat" w:eastAsia="Montserrat" w:hAnsi="Montserrat"/>
          <w:i w:val="1"/>
          <w:color w:val="17181c"/>
          <w:sz w:val="16"/>
          <w:szCs w:val="16"/>
          <w:rtl w:val="0"/>
        </w:rPr>
        <w:t xml:space="preserve"> Your all-in-one platform for community engagement.</w:t>
      </w:r>
      <w:r w:rsidDel="00000000" w:rsidR="00000000" w:rsidRPr="00000000">
        <w:rPr>
          <w:rFonts w:ascii="Montserrat" w:cs="Montserrat" w:eastAsia="Montserrat" w:hAnsi="Montserrat"/>
          <w:color w:val="17181c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223e7d"/>
          <w:sz w:val="16"/>
          <w:szCs w:val="16"/>
          <w:rtl w:val="0"/>
        </w:rPr>
        <w:t xml:space="preserve">https://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223e7d"/>
            <w:sz w:val="16"/>
            <w:szCs w:val="16"/>
            <w:rtl w:val="0"/>
          </w:rPr>
          <w:t xml:space="preserve">www.citizenlab.co/platform-online-engagement-toolbox.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36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80" w:lineRule="auto"/>
        <w:ind w:left="117" w:right="1060" w:firstLine="0"/>
        <w:jc w:val="both"/>
        <w:rPr>
          <w:rFonts w:ascii="Montserrat" w:cs="Montserrat" w:eastAsia="Montserrat" w:hAnsi="Montserrat"/>
          <w:color w:val="17181c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World Health Organization. (2020). </w:t>
      </w:r>
      <w:r w:rsidDel="00000000" w:rsidR="00000000" w:rsidRPr="00000000">
        <w:rPr>
          <w:rFonts w:ascii="Montserrat" w:cs="Montserrat" w:eastAsia="Montserrat" w:hAnsi="Montserrat"/>
          <w:i w:val="1"/>
          <w:sz w:val="16"/>
          <w:szCs w:val="16"/>
          <w:rtl w:val="0"/>
        </w:rPr>
        <w:t xml:space="preserve">Community engagement: a health promotion guide for universal health coverage in the hands of the people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060" w:firstLine="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headerReference r:id="rId10" w:type="default"/>
          <w:footerReference r:id="rId11" w:type="default"/>
          <w:pgSz w:h="16840" w:w="11920" w:orient="portrait"/>
          <w:pgMar w:bottom="1000" w:top="560" w:left="1300" w:right="1680" w:header="0" w:footer="814"/>
          <w:pgNumType w:start="182"/>
        </w:sect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https://www.who. int/publications/i/item/9789240010529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Engaging stakeholders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16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Concannon, T. W., Grant, S., Welch, V. et al. (2019). Practical Guidance for Involving Stakeholders in Health Research.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 J GEN INTERN MED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34, 458–463.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https://doi. org/10.1007/s11606-018-4738-6.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Ethical considerations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6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Loewenson, R., Laurell, A. C., Hogstedt, C., D’Ambruso, L. &amp; Shroff, Z. (2014). Part 3.1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Ethics in participatory action research in Participatory Action Research in Health Systems: a methods reader.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TARSC, AHPSR, WHO, IDRC Canada, EQUINET; Harare, Zimbabwe.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https://idl-bnc-idrc.dspacedirect.org/server/api/core/bitstreams/6ff04afc- dd90-47ea-8502-c4ab6a0fd80b/content.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Inclusive policy-making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26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INASP. (2016).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Evidence-informed Policy Making Toolkit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VakaYiko, ukaid.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 </w:t>
      </w:r>
      <w:hyperlink r:id="rId12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www.inasp.info/sites/default/files/2018-04/EIPM%20Toolkit-Ed2-FULL.pdf</w:t>
        </w:r>
      </w:hyperlink>
      <w:hyperlink r:id="rId13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0000ff"/>
            <w:sz w:val="16"/>
            <w:szCs w:val="16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Mayne, R., Green, D., Guijt, I. et al. (2018). Using evidence to influence policy: Oxfam’s experience.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Palgrave Commun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 4, 122.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https://doi.org/10.1057/s41599-018-0176-7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116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National Collaborating Centre for Methods and Tools. (2023).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SUPPORT Tools for Evidence-Informed Policymaking in Health (STP) 6: Using Research Evidence to Address how an Option will be Implemented.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14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www.nccmt.ca/knowledge-</w:t>
        </w:r>
      </w:hyperlink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 repositories/search/155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RADAAR. (2023).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Advocacy to Drive AMR Policy: A Country Guide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International Vaccine Institute.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15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www.ivi.int/policy-advocacy-2/.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992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Supporting the Use of Research Evidence. (2011).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SURE Guides for Preparing and Using Evidence-Based Policy Briefs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https://epoc.cochrane.org/sites/epoc.cochrane. org/files/public/uploads/SURE-Guides-v2.1/Collectedfiles/sure_guides.html.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996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World Health Organization. (2023). Evidence-Informed Policy Network (EVIPNet), A global network for evidence-informed health policy-making.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16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www.who.int/</w:t>
        </w:r>
      </w:hyperlink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 initiatives/evidence-informed-policy-network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Inclusivity and gender sensitivity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International Development Research Centre. (2023). Glossary of terms related to Gender Equality and Inclusion.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https://idrc-crdi.ca/sites/default/files/2023-10/GEI%20 Glossary%20EN_1.pdf.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ReAct, Institute of Development Studies &amp; Triple Line. (2020).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Scoping the Significance of Gender for Antibiotic Resistance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17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www.reactgroup.org/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149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headerReference r:id="rId18" w:type="default"/>
          <w:type w:val="nextPage"/>
          <w:pgSz w:h="16840" w:w="11920" w:orient="portrait"/>
          <w:pgMar w:bottom="1000" w:top="1460" w:left="1300" w:right="1680" w:header="0" w:footer="814"/>
        </w:sect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wp-content/uploads/2020/09/Scoping-the-Significance-of-Gender-for-Antibiotic- Resistance-IDS-ReAct-Report-October-2020.pdf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World Health Organization. (2018)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Tackling antimicrobial resistance (AMR) together. Working paper 5.0: Enhancing the focus on gender and equity.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Geneva: World Health Organization (WHO/HWSI/AMR/2018.3).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Monitoring and 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Organisation for Economic Cooperation and Development (OECD). (2021),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Evaluation Guidelines for Representative Deliberative Processes.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OECD Publishing, Paris.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https://doi.org/10.1787/10ccbfcb-en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OECD iLibrary. (2023).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222222"/>
          <w:sz w:val="16"/>
          <w:szCs w:val="16"/>
          <w:u w:val="none"/>
          <w:shd w:fill="auto" w:val="clear"/>
          <w:vertAlign w:val="baseline"/>
          <w:rtl w:val="0"/>
        </w:rPr>
        <w:t xml:space="preserve">Conducting an evaluation: Why, who, and how?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19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www.oecd-ilibrary.org/sites/10ccbfcb-en/1/3/1index.</w:t>
        </w:r>
      </w:hyperlink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 html?itemId=/content/publication/10ccbfcb-en&amp;_ csp_=d69eda57e6c10e8b31b6dc1351befc3e&amp;itemIGO=oecd&amp;itemContentType=book.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Piloting co-created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266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Mathew, P., Chandy, S. J., Sivaraman, S., Ranjalkar, J., Ali, H. M., Ranganathan, R. &amp; Thomas, S. A. (2023).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Formulating a Community-Centric Indicator Framework to Quantify One Health Drivers of Antibiotic Resistance: A Preliminary Step towards Fostering ‘Antibiotic-Smart Communities’.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https://doi.org/10.20944/ preprints202312.0152.v1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Partners for Health Reformplus. (2004).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Role of Pilot Programs: Approaches to Health Systems Strengthening.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Bethesda, MD: PHRplus, Abt Associates Inc.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 pdf.usaid.gov/pdf_docs/Pnacy923.pdf.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WHO/ExpandNet. (2011).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Beginning with the End in Mind: Planning Pilot Projects and Other Programmatic research for Successful Scaling Up.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Geneva, WHO.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Power dynamics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065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VeneKlasen, L. &amp; Miller, V. (2007).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New Weave of Power, People and Politics: The Action Guide for Advocacy and Citizen Participation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https://justassociates.org/all- resources/a-new-weave-of-power-people-politics-the-action-guide-for-advocacy- and-citizen-participation/.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WaterAid+FAN GTF Programme, Learning Project. (2012).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Power Analysis Briefing Review of tools and methods.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20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www.alnap.org/system/files/content/resource/</w:t>
        </w:r>
      </w:hyperlink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 files/main/Tiberghien%2C%202012.pdf.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117" w:right="0" w:firstLine="0"/>
        <w:jc w:val="left"/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0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Planning, preparing, and facilitating Conversation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984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17181c"/>
          <w:sz w:val="16"/>
          <w:szCs w:val="16"/>
          <w:u w:val="none"/>
          <w:shd w:fill="auto" w:val="clear"/>
          <w:vertAlign w:val="baseline"/>
          <w:rtl w:val="0"/>
        </w:rPr>
        <w:t xml:space="preserve">Cserti, R. (2023).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What are facilitation skills and how to improve them?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17181c"/>
          <w:sz w:val="16"/>
          <w:szCs w:val="16"/>
          <w:u w:val="none"/>
          <w:shd w:fill="auto" w:val="clear"/>
          <w:vertAlign w:val="baseline"/>
          <w:rtl w:val="0"/>
        </w:rPr>
        <w:t xml:space="preserve">SessionLab.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21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www.sessionlab.com/blog/facilitation-skills/.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headerReference r:id="rId22" w:type="default"/>
          <w:type w:val="nextPage"/>
          <w:pgSz w:h="16840" w:w="11920" w:orient="portrait"/>
          <w:pgMar w:bottom="1000" w:top="560" w:left="1300" w:right="1680" w:header="0" w:footer="814"/>
        </w:sect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Carr, T. (2014).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Facilitating online: A course leaders’ guide.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https://www.academia. edu/1310988/Facilitating_Online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17" w:right="0" w:firstLine="0"/>
        <w:jc w:val="left"/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Dialogue by Design. (2010).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Handbook of Public and Stakeholder Engagement.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17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https://drive.google.com/drive/folders/1joK2OS_5NXT40syiWgtHd6BLU48vQ09G.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50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Human Centered Design Toolkit. (n.d.).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https://climateandhealthresearch.files. wordpress.com/2015/04/ideo-org_hcd_toolkit.pdf.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17" w:right="89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National Co-ordinating Centre for Public Engagement. (2017).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How to … facilitate deliberative engagement.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https://drive.google.com/drive/folders/1joK2OS_5NXT40syiWgtHd6BLU48vQ09G.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688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Inter-American Institute for Cooperation on Agriculture. (2008).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80 Tools for Participatory Development: appraisal, planning, follow-up and evaluation.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https://decid.co.uk/resource/80-tools-for-participatory-development- appraisalplanning-follow-up-and-evaluation/.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17" w:right="1301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17181c"/>
          <w:sz w:val="16"/>
          <w:szCs w:val="16"/>
          <w:u w:val="none"/>
          <w:shd w:fill="auto" w:val="clear"/>
          <w:vertAlign w:val="baseline"/>
          <w:rtl w:val="0"/>
        </w:rPr>
        <w:t xml:space="preserve">Rim Moiso, D. (2022). 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step-by-step guide to planning a workshop.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17181c"/>
          <w:sz w:val="16"/>
          <w:szCs w:val="16"/>
          <w:u w:val="none"/>
          <w:shd w:fill="auto" w:val="clear"/>
          <w:vertAlign w:val="baseline"/>
          <w:rtl w:val="0"/>
        </w:rPr>
        <w:t xml:space="preserve">SessionLab.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23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www.sessionlab.com/blog/planning-a-workshop/.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17181c"/>
          <w:sz w:val="16"/>
          <w:szCs w:val="16"/>
          <w:u w:val="none"/>
          <w:shd w:fill="auto" w:val="clear"/>
          <w:vertAlign w:val="baseline"/>
          <w:rtl w:val="0"/>
        </w:rPr>
        <w:t xml:space="preserve">School of Facilitation (SOF). (2023).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223e7d"/>
          <w:sz w:val="16"/>
          <w:szCs w:val="16"/>
          <w:u w:val="none"/>
          <w:shd w:fill="auto" w:val="clear"/>
          <w:vertAlign w:val="baseline"/>
          <w:rtl w:val="0"/>
        </w:rPr>
        <w:t xml:space="preserve">https://</w:t>
      </w:r>
      <w:hyperlink r:id="rId24">
        <w:r w:rsidDel="00000000" w:rsidR="00000000" w:rsidRPr="00000000">
          <w:rPr>
            <w:rFonts w:ascii="Montserrat" w:cs="Montserrat" w:eastAsia="Montserrat" w:hAnsi="Montserrat"/>
            <w:i w:val="0"/>
            <w:smallCaps w:val="0"/>
            <w:strike w:val="0"/>
            <w:color w:val="223e7d"/>
            <w:sz w:val="16"/>
            <w:szCs w:val="16"/>
            <w:u w:val="none"/>
            <w:shd w:fill="auto" w:val="clear"/>
            <w:vertAlign w:val="baseline"/>
            <w:rtl w:val="0"/>
          </w:rPr>
          <w:t xml:space="preserve">www.schooloffacilitation.com/.</w:t>
        </w:r>
      </w:hyperlink>
      <w:r w:rsidDel="00000000" w:rsidR="00000000" w:rsidRPr="00000000">
        <w:rPr>
          <w:rtl w:val="0"/>
        </w:rPr>
      </w:r>
    </w:p>
    <w:sectPr>
      <w:headerReference r:id="rId25" w:type="default"/>
      <w:type w:val="nextPage"/>
      <w:pgSz w:h="16840" w:w="11920" w:orient="portrait"/>
      <w:pgMar w:bottom="1000" w:top="1520" w:left="1300" w:right="1680" w:header="0" w:footer="8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Thin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widowControl w:val="0"/>
      <w:spacing w:before="3" w:lineRule="auto"/>
      <w:rPr>
        <w:rFonts w:ascii="Montserrat Thin" w:cs="Montserrat Thin" w:eastAsia="Montserrat Thin" w:hAnsi="Montserrat Th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widowControl w:val="0"/>
      <w:spacing w:line="280" w:lineRule="auto"/>
      <w:ind w:left="117" w:right="1060" w:firstLine="0"/>
      <w:jc w:val="both"/>
      <w:rPr>
        <w:rFonts w:ascii="Montserrat" w:cs="Montserrat" w:eastAsia="Montserrat" w:hAnsi="Montserrat"/>
        <w:color w:val="17181c"/>
        <w:sz w:val="19"/>
        <w:szCs w:val="1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7" w:right="0" w:firstLine="0"/>
      <w:jc w:val="left"/>
    </w:pPr>
    <w:rPr>
      <w:rFonts w:ascii="Montserrat SemiBold" w:cs="Montserrat SemiBold" w:eastAsia="Montserrat SemiBold" w:hAnsi="Montserrat SemiBold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117" w:right="0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217" w:line="240" w:lineRule="auto"/>
      <w:ind w:left="117" w:right="0" w:firstLine="0"/>
      <w:jc w:val="left"/>
      <w:outlineLvl w:val="0"/>
    </w:pPr>
    <w:rPr>
      <w:rFonts w:ascii="Montserrat Thin" w:cs="Montserrat Thin" w:eastAsia="Montserrat Thin" w:hAnsi="Montserrat Thin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Montserrat Thin Regular" w:cs="Montserrat Thin Regular" w:eastAsia="Montserrat Thin Regular" w:hAnsi="Montserrat Thin Regular"/>
      <w:outline w:val="0"/>
      <w:color w:val="223e7d"/>
      <w:u w:color="223e7d"/>
      <w14:textFill>
        <w14:solidFill>
          <w14:srgbClr w14:val="223E7D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223e7d"/>
      <w:u w:color="223e7d"/>
      <w14:textFill>
        <w14:solidFill>
          <w14:srgbClr w14:val="223E7D"/>
        </w14:solidFill>
      </w14:textFill>
    </w:rPr>
  </w:style>
  <w:style w:type="character" w:styleId="Hyperlink.2">
    <w:name w:val="Hyperlink.2"/>
    <w:basedOn w:val="None"/>
    <w:next w:val="Hyperlink.2"/>
    <w:rPr>
      <w:rFonts w:ascii="Montserrat Thin Regular" w:cs="Montserrat Thin Regular" w:eastAsia="Montserrat Thin Regular" w:hAnsi="Montserrat Thin Regular"/>
      <w:outline w:val="0"/>
      <w:color w:val="223e7d"/>
      <w:spacing w:val="-2"/>
      <w:sz w:val="19"/>
      <w:szCs w:val="19"/>
      <w:u w:color="223e7d"/>
      <w14:textFill>
        <w14:solidFill>
          <w14:srgbClr w14:val="223E7D"/>
        </w14:solidFill>
      </w14:textFill>
    </w:rPr>
  </w:style>
  <w:style w:type="character" w:styleId="Hyperlink.3">
    <w:name w:val="Hyperlink.3"/>
    <w:basedOn w:val="None"/>
    <w:next w:val="Hyperlink.3"/>
    <w:rPr>
      <w:rFonts w:ascii="Montserrat Thin Regular" w:cs="Montserrat Thin Regular" w:eastAsia="Montserrat Thin Regular" w:hAnsi="Montserrat Thin Regular"/>
      <w:outline w:val="0"/>
      <w:color w:val="223e7d"/>
      <w:sz w:val="19"/>
      <w:szCs w:val="19"/>
      <w:u w:color="223e7d"/>
      <w14:textFill>
        <w14:solidFill>
          <w14:srgbClr w14:val="223E7D"/>
        </w14:solidFill>
      </w14:textFill>
    </w:rPr>
  </w:style>
  <w:style w:type="character" w:styleId="Hyperlink.4">
    <w:name w:val="Hyperlink.4"/>
    <w:basedOn w:val="None"/>
    <w:next w:val="Hyperlink.4"/>
    <w:rPr>
      <w:rFonts w:ascii="Montserrat Thin Regular" w:cs="Montserrat Thin Regular" w:eastAsia="Montserrat Thin Regular" w:hAnsi="Montserrat Thin Regular"/>
      <w:outline w:val="0"/>
      <w:color w:val="223e7d"/>
      <w:spacing w:val="0"/>
      <w:u w:color="223e7d"/>
      <w14:textFill>
        <w14:solidFill>
          <w14:srgbClr w14:val="223E7D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223e7d"/>
      <w:spacing w:val="0"/>
      <w:u w:color="223e7d"/>
      <w14:textFill>
        <w14:solidFill>
          <w14:srgbClr w14:val="223E7D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alnap.org/system/files/content/resource/" TargetMode="External"/><Relationship Id="rId22" Type="http://schemas.openxmlformats.org/officeDocument/2006/relationships/header" Target="header2.xml"/><Relationship Id="rId21" Type="http://schemas.openxmlformats.org/officeDocument/2006/relationships/hyperlink" Target="http://www.sessionlab.com/blog/facilitation-skills/" TargetMode="External"/><Relationship Id="rId24" Type="http://schemas.openxmlformats.org/officeDocument/2006/relationships/hyperlink" Target="http://www.schooloffacilitation.com/" TargetMode="External"/><Relationship Id="rId23" Type="http://schemas.openxmlformats.org/officeDocument/2006/relationships/hyperlink" Target="http://www.sessionlab.com/blog/planning-a-worksho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itizenlab.co/platform-online-engagement-toolbox" TargetMode="External"/><Relationship Id="rId25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eactgroup.org/" TargetMode="External"/><Relationship Id="rId8" Type="http://schemas.openxmlformats.org/officeDocument/2006/relationships/hyperlink" Target="http://www.reactgroup.org/news-" TargetMode="Externa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://www.inasp.info/sites/default/files/2018-04/EIPM%2520Toolkit-Ed2-FULL.pdf" TargetMode="External"/><Relationship Id="rId12" Type="http://schemas.openxmlformats.org/officeDocument/2006/relationships/hyperlink" Target="http://www.inasp.info/sites/default/files/2018-04/EIPM%2520Toolkit-Ed2-FULL.pdf" TargetMode="External"/><Relationship Id="rId15" Type="http://schemas.openxmlformats.org/officeDocument/2006/relationships/hyperlink" Target="http://www.ivi.int/policy-advocacy-2/" TargetMode="External"/><Relationship Id="rId14" Type="http://schemas.openxmlformats.org/officeDocument/2006/relationships/hyperlink" Target="http://www.nccmt.ca/knowledge-" TargetMode="External"/><Relationship Id="rId17" Type="http://schemas.openxmlformats.org/officeDocument/2006/relationships/hyperlink" Target="http://www.reactgroup.org/" TargetMode="External"/><Relationship Id="rId16" Type="http://schemas.openxmlformats.org/officeDocument/2006/relationships/hyperlink" Target="http://www.who.int/" TargetMode="External"/><Relationship Id="rId19" Type="http://schemas.openxmlformats.org/officeDocument/2006/relationships/hyperlink" Target="http://www.oecd-ilibrary.org/sites/10ccbfcb-en/1/3/1index" TargetMode="External"/><Relationship Id="rId1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3" Type="http://schemas.openxmlformats.org/officeDocument/2006/relationships/font" Target="fonts/MontserratThin-regular.ttf"/><Relationship Id="rId12" Type="http://schemas.openxmlformats.org/officeDocument/2006/relationships/font" Target="fonts/HelveticaNeue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HelveticaNeue-regular.ttf"/><Relationship Id="rId15" Type="http://schemas.openxmlformats.org/officeDocument/2006/relationships/font" Target="fonts/MontserratThin-italic.ttf"/><Relationship Id="rId14" Type="http://schemas.openxmlformats.org/officeDocument/2006/relationships/font" Target="fonts/MontserratThin-bold.ttf"/><Relationship Id="rId16" Type="http://schemas.openxmlformats.org/officeDocument/2006/relationships/font" Target="fonts/MontserratThin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ontserrat SemiBold"/>
        <a:ea typeface="Montserrat SemiBold"/>
        <a:cs typeface="Montserrat Semi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0Gv5xq6SI6cEhcTvJ9GB4zAgKg==">CgMxLjA4AHIhMWxmOFRYYm5PbEpKOElqclFKOFUzYndfbkpYVU02Njln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