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117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  <w:rtl w:val="0"/>
        </w:rPr>
        <w:t xml:space="preserve">Evaluation Criteria/Indicators – by policy 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0" w:lineRule="auto"/>
        <w:ind w:left="129" w:firstLine="0"/>
        <w:rPr>
          <w:rFonts w:ascii="Montserrat" w:cs="Montserrat" w:eastAsia="Montserrat" w:hAnsi="Montserrat"/>
          <w:b w:val="1"/>
          <w:sz w:val="9"/>
          <w:szCs w:val="9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0.00000000000057" w:tblpY="14.510000000000147"/>
        <w:tblW w:w="8805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800"/>
        <w:gridCol w:w="2640"/>
        <w:gridCol w:w="4365"/>
        <w:tblGridChange w:id="0">
          <w:tblGrid>
            <w:gridCol w:w="1800"/>
            <w:gridCol w:w="2640"/>
            <w:gridCol w:w="4365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80.0" w:type="dxa"/>
              <w:left w:w="165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before="85" w:line="242" w:lineRule="auto"/>
              <w:ind w:left="85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6"/>
                <w:szCs w:val="16"/>
                <w:rtl w:val="0"/>
              </w:rPr>
              <w:t xml:space="preserve">Policy need/ challenge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80.0" w:type="dxa"/>
              <w:left w:w="160.0" w:type="dxa"/>
              <w:bottom w:w="80.0" w:type="dxa"/>
              <w:right w:w="231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before="85" w:line="242" w:lineRule="auto"/>
              <w:ind w:left="80" w:right="151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6"/>
                <w:szCs w:val="16"/>
                <w:rtl w:val="0"/>
              </w:rPr>
              <w:t xml:space="preserve">What do policy-makers want to know?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1d91d0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before="85" w:lineRule="auto"/>
              <w:ind w:left="80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6"/>
                <w:szCs w:val="16"/>
                <w:rtl w:val="0"/>
              </w:rPr>
              <w:t xml:space="preserve">Possible evaluation questions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vMerge w:val="restart"/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before="80" w:lineRule="auto"/>
              <w:ind w:left="79" w:firstLine="0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6"/>
                <w:szCs w:val="16"/>
                <w:rtl w:val="0"/>
              </w:rPr>
              <w:t xml:space="preserve">Purpose</w:t>
            </w:r>
          </w:p>
          <w:p w:rsidR="00000000" w:rsidDel="00000000" w:rsidP="00000000" w:rsidRDefault="00000000" w:rsidRPr="00000000" w14:paraId="00000009">
            <w:pPr>
              <w:widowControl w:val="0"/>
              <w:spacing w:before="116" w:line="242" w:lineRule="auto"/>
              <w:ind w:left="79" w:right="65" w:firstLine="0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16"/>
                <w:szCs w:val="16"/>
                <w:rtl w:val="0"/>
              </w:rPr>
              <w:t xml:space="preserve">It is challenging to develop appropriate policies, and to turn policies and strategies into practical actions.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27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before="79" w:line="242" w:lineRule="auto"/>
              <w:ind w:left="80" w:right="19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What do policy-makers expect from Responsive Dialogues and do Responsive Dialogues deliver this?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315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4"/>
              </w:numPr>
              <w:spacing w:before="80" w:line="230" w:lineRule="auto"/>
              <w:ind w:left="419" w:right="235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Was there a clear purpose/rationale for running the Responsive Dialogues?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4"/>
              </w:numPr>
              <w:spacing w:before="119" w:line="230" w:lineRule="auto"/>
              <w:ind w:left="419" w:right="473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Were clear objectives set and met through the Responsive Dialogues?</w:t>
            </w:r>
          </w:p>
        </w:tc>
      </w:tr>
      <w:tr>
        <w:trPr>
          <w:cantSplit w:val="0"/>
          <w:trHeight w:val="109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462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before="74" w:line="242" w:lineRule="auto"/>
              <w:ind w:left="80" w:right="382" w:firstLine="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do Responsive Dialogues support the development and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2" w:line="242" w:lineRule="auto"/>
              <w:ind w:left="80" w:right="55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implementation of NAPs/ AMR policies?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593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6"/>
              </w:numPr>
              <w:spacing w:before="72" w:line="235" w:lineRule="auto"/>
              <w:ind w:left="419" w:right="513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did the participants'/public’s understanding of infection risk and antibiotic use change?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6"/>
              </w:numPr>
              <w:spacing w:before="119" w:line="230" w:lineRule="auto"/>
              <w:ind w:left="419" w:right="236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Did the Responsive Dialogues result in practical, actionable solutions?</w:t>
            </w:r>
          </w:p>
        </w:tc>
      </w:tr>
      <w:tr>
        <w:trPr>
          <w:cantSplit w:val="0"/>
          <w:trHeight w:val="120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345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before="73" w:line="242" w:lineRule="auto"/>
              <w:ind w:left="80" w:right="265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do you ensure that AMR is addressed across the One Health spectrum?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394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8"/>
              </w:numPr>
              <w:spacing w:before="75" w:line="230" w:lineRule="auto"/>
              <w:ind w:left="419" w:right="314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involved were stakeholders from across the One Health spectrum?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8"/>
              </w:numPr>
              <w:spacing w:before="114" w:line="235" w:lineRule="auto"/>
              <w:ind w:left="419" w:right="143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did different stakeholders’ perceptions and behaviours to different sectors change?</w:t>
            </w:r>
          </w:p>
        </w:tc>
      </w:tr>
      <w:tr>
        <w:trPr>
          <w:cantSplit w:val="0"/>
          <w:trHeight w:val="1099" w:hRule="atLeast"/>
          <w:tblHeader w:val="0"/>
        </w:trPr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before="73" w:lineRule="auto"/>
              <w:ind w:left="80" w:firstLine="0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6"/>
                <w:szCs w:val="16"/>
                <w:rtl w:val="0"/>
              </w:rPr>
              <w:t xml:space="preserve">Involvement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116" w:line="242" w:lineRule="auto"/>
              <w:ind w:left="80" w:firstLine="0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16"/>
                <w:szCs w:val="16"/>
                <w:rtl w:val="0"/>
              </w:rPr>
              <w:t xml:space="preserve">AMR is a cross- sectoral issue, requiring a One Health response.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231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before="73" w:line="242" w:lineRule="auto"/>
              <w:ind w:left="80" w:right="151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Who should participate in the Responsive Dialogues process and what role(s) should they play?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289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0"/>
              </w:numPr>
              <w:spacing w:before="74" w:line="230" w:lineRule="auto"/>
              <w:ind w:left="419" w:right="209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(Which) stakeholders were involved from across the One Health spectrum?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0"/>
              </w:numPr>
              <w:spacing w:before="118" w:line="230" w:lineRule="auto"/>
              <w:ind w:left="419" w:right="626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were stakeholders identified, contacted, and engaged?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0"/>
              </w:numPr>
              <w:spacing w:before="118" w:line="230" w:lineRule="auto"/>
              <w:ind w:left="419" w:right="342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(How) were participants selected and how inclusive was this process?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1"/>
              </w:numPr>
              <w:spacing w:before="112" w:lineRule="auto"/>
              <w:ind w:left="419" w:hanging="339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diverse was the participation?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1"/>
              </w:numPr>
              <w:spacing w:before="105" w:line="230" w:lineRule="auto"/>
              <w:ind w:left="419" w:right="841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Were any relevant stakeholders excluded? Why? How?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1"/>
              </w:numPr>
              <w:spacing w:before="118" w:line="230" w:lineRule="auto"/>
              <w:ind w:left="419" w:right="131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Who has seen the results and how have the results been used?</w:t>
            </w:r>
          </w:p>
        </w:tc>
      </w:tr>
      <w:tr>
        <w:trPr>
          <w:cantSplit w:val="0"/>
          <w:trHeight w:val="1427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345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before="72" w:line="242" w:lineRule="auto"/>
              <w:ind w:left="80" w:right="265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do you motivate different stakeholders / policy/decision-makers to engage in the Responsive Dialogues process/AMR policy- making?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289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6" w:hRule="atLeast"/>
          <w:tblHeader w:val="0"/>
        </w:trPr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before="72" w:lineRule="auto"/>
              <w:ind w:left="80" w:firstLine="0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6"/>
                <w:szCs w:val="16"/>
                <w:rtl w:val="0"/>
              </w:rPr>
              <w:t xml:space="preserve">Value for money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16" w:line="242" w:lineRule="auto"/>
              <w:ind w:left="80" w:right="91" w:firstLine="0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16"/>
                <w:szCs w:val="16"/>
                <w:rtl w:val="0"/>
              </w:rPr>
              <w:t xml:space="preserve">Resources, including money and time, to develop and implement policies on AMR are limited.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329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before="72" w:line="242" w:lineRule="auto"/>
              <w:ind w:left="80" w:right="249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Are Responsive Dialogues ‘value for money’ compared to other policy processes?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365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2"/>
              </w:numPr>
              <w:spacing w:before="68" w:line="237" w:lineRule="auto"/>
              <w:ind w:left="419" w:right="285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much did the Responsive Dialogues cost? How long did the process take? What was the cost/time breakdown?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before="116" w:line="235" w:lineRule="auto"/>
              <w:ind w:left="419" w:right="221" w:hanging="340"/>
              <w:jc w:val="both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What was the level of planning/buy-in/ commitment (people, time, resources) to run the Responsive Dialogues?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before="117" w:line="235" w:lineRule="auto"/>
              <w:ind w:left="419" w:right="389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Were the right resources (time, skills, materials, funding) identified and organised?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before="119" w:line="230" w:lineRule="auto"/>
              <w:ind w:left="419" w:right="576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Were the Responsive Dialogues adequately and properly planned?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before="118" w:line="230" w:lineRule="auto"/>
              <w:ind w:left="419" w:right="194" w:hanging="340"/>
              <w:jc w:val="both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Was the timing/accessibility/location of the Conversation Events right?</w:t>
            </w:r>
          </w:p>
        </w:tc>
      </w:tr>
      <w:tr>
        <w:trPr>
          <w:cantSplit w:val="0"/>
          <w:trHeight w:val="1881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135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before="71" w:line="242" w:lineRule="auto"/>
              <w:ind w:left="80" w:right="55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What does it take (time, money, resources) to run Responsive Dialogues and where will these resources come from?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365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before="71" w:lineRule="auto"/>
              <w:ind w:left="80" w:firstLine="0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6"/>
                <w:szCs w:val="16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16" w:line="242" w:lineRule="auto"/>
              <w:ind w:left="80" w:right="93" w:firstLine="0"/>
              <w:rPr>
                <w:rFonts w:ascii="Montserrat Thin" w:cs="Montserrat Thin" w:eastAsia="Montserrat Thin" w:hAnsi="Montserrat Thin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1"/>
                <w:sz w:val="16"/>
                <w:szCs w:val="16"/>
                <w:rtl w:val="0"/>
              </w:rPr>
              <w:t xml:space="preserve">There are different levels of understanding about AMR and its causes.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316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before="71" w:line="242" w:lineRule="auto"/>
              <w:ind w:left="80" w:right="236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What evidence/ information/messaging is needed about AMR to run the Responsive Dialogues?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273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3"/>
              </w:numPr>
              <w:spacing w:before="68" w:line="235" w:lineRule="auto"/>
              <w:ind w:left="419" w:right="193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robust was the evidence on AMR that was used/presented in Responsive Dialogues?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"/>
              </w:numPr>
              <w:spacing w:before="120" w:line="230" w:lineRule="auto"/>
              <w:ind w:left="419" w:right="309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Were the right experts involved? How was material presented?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"/>
              </w:numPr>
              <w:spacing w:before="118" w:line="230" w:lineRule="auto"/>
              <w:ind w:left="419" w:right="236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well did stakeholders understand their role?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7"/>
              </w:numPr>
              <w:spacing w:before="111" w:lineRule="auto"/>
              <w:ind w:left="419" w:hanging="339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Were the main topics/issues prioritised?</w:t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462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before="70" w:line="242" w:lineRule="auto"/>
              <w:ind w:left="80" w:right="382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do you (best) present evidence to the public and other stakeholders?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273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spacing w:before="183" w:lineRule="auto"/>
        <w:rPr>
          <w:rFonts w:ascii="Montserrat" w:cs="Montserrat" w:eastAsia="Montserrat" w:hAnsi="Montserrat"/>
          <w:b w:val="1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129" w:right="0" w:hanging="129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65.00000000000057" w:tblpY="6.180000000000518"/>
        <w:tblW w:w="8775.0" w:type="dxa"/>
        <w:jc w:val="left"/>
        <w:tblInd w:w="169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695"/>
        <w:gridCol w:w="2760"/>
        <w:gridCol w:w="4320"/>
        <w:tblGridChange w:id="0">
          <w:tblGrid>
            <w:gridCol w:w="1695"/>
            <w:gridCol w:w="2760"/>
            <w:gridCol w:w="4320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80.0" w:type="dxa"/>
              <w:left w:w="165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before="85" w:line="242" w:lineRule="auto"/>
              <w:ind w:left="85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6"/>
                <w:szCs w:val="16"/>
                <w:rtl w:val="0"/>
              </w:rPr>
              <w:t xml:space="preserve">Policy need/ challenge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80.0" w:type="dxa"/>
              <w:left w:w="160.0" w:type="dxa"/>
              <w:bottom w:w="80.0" w:type="dxa"/>
              <w:right w:w="231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before="85" w:line="242" w:lineRule="auto"/>
              <w:ind w:left="80" w:right="151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6"/>
                <w:szCs w:val="16"/>
                <w:rtl w:val="0"/>
              </w:rPr>
              <w:t xml:space="preserve">What do policy-makers want to know?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1d91d0" w:val="clear"/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before="85" w:lineRule="auto"/>
              <w:ind w:left="80" w:firstLine="0"/>
              <w:rPr>
                <w:rFonts w:ascii="Montserrat" w:cs="Montserrat" w:eastAsia="Montserrat" w:hAnsi="Montserrat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color w:val="ffffff"/>
                <w:sz w:val="16"/>
                <w:szCs w:val="16"/>
                <w:rtl w:val="0"/>
              </w:rPr>
              <w:t xml:space="preserve">Possible evaluation questions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1" w:hRule="atLeast"/>
          <w:tblHeader w:val="0"/>
        </w:trPr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before="80" w:line="242" w:lineRule="auto"/>
              <w:ind w:left="79" w:firstLine="0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6"/>
                <w:szCs w:val="16"/>
                <w:rtl w:val="0"/>
              </w:rPr>
              <w:t xml:space="preserve">Contextually relevant</w:t>
            </w:r>
          </w:p>
          <w:p w:rsidR="00000000" w:rsidDel="00000000" w:rsidP="00000000" w:rsidRDefault="00000000" w:rsidRPr="00000000" w14:paraId="00000040">
            <w:pPr>
              <w:widowControl w:val="0"/>
              <w:spacing w:before="114" w:line="242" w:lineRule="auto"/>
              <w:ind w:left="79" w:right="113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Policy needs and solutions for AMR differ.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437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before="79" w:line="242" w:lineRule="auto"/>
              <w:ind w:left="80" w:right="357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relevant are Responsive Dialogues outcomes to local contexts?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761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2"/>
              </w:numPr>
              <w:spacing w:before="77" w:line="235" w:lineRule="auto"/>
              <w:ind w:left="419" w:right="681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Was AMR sufficiently researched/ mapped and did this inform the Responsive Dialogues?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"/>
              </w:numPr>
              <w:spacing w:before="117" w:line="235" w:lineRule="auto"/>
              <w:ind w:left="419" w:right="339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Were different ‘communities’ engaged and how did their context, understanding, and outcomes differ?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000000" w:space="0" w:sz="0" w:val="nil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before="74" w:lineRule="auto"/>
              <w:ind w:left="80" w:firstLine="0"/>
              <w:rPr>
                <w:rFonts w:ascii="Montserrat" w:cs="Montserrat" w:eastAsia="Montserrat" w:hAnsi="Montserrat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16"/>
                <w:szCs w:val="16"/>
                <w:rtl w:val="0"/>
              </w:rPr>
              <w:t xml:space="preserve">Governance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116" w:line="242" w:lineRule="auto"/>
              <w:ind w:left="80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Society doesn’t understand or trust the experts or policy-makers.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000000" w:space="0" w:sz="0" w:val="nil"/>
              <w:right w:color="1d91d0" w:space="0" w:sz="4" w:val="single"/>
            </w:tcBorders>
            <w:tcMar>
              <w:top w:w="80.0" w:type="dxa"/>
              <w:left w:w="160.0" w:type="dxa"/>
              <w:bottom w:w="80.0" w:type="dxa"/>
              <w:right w:w="231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before="74" w:line="242" w:lineRule="auto"/>
              <w:ind w:left="80" w:right="151" w:firstLine="0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What governance structure is needed to set up and run effective Responsive Dialogues?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1d91d0" w:space="0" w:sz="4" w:val="single"/>
              <w:left w:color="1d91d0" w:space="0" w:sz="4" w:val="single"/>
              <w:bottom w:color="000000" w:space="0" w:sz="0" w:val="nil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324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5"/>
              </w:numPr>
              <w:spacing w:before="72" w:line="235" w:lineRule="auto"/>
              <w:ind w:left="419" w:right="244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Were governance, co-ordination, and management arrangements clear and appropriate?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5"/>
              </w:numPr>
              <w:spacing w:before="119" w:line="230" w:lineRule="auto"/>
              <w:ind w:left="419" w:right="646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Were the dialogues open but also anonymous?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9"/>
              </w:numPr>
              <w:spacing w:before="62" w:line="230" w:lineRule="auto"/>
              <w:ind w:left="419" w:right="193" w:hanging="340"/>
              <w:rPr>
                <w:rFonts w:ascii="Montserrat" w:cs="Montserrat" w:eastAsia="Montserrat" w:hAnsi="Montserrat"/>
                <w:sz w:val="16"/>
                <w:szCs w:val="1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How were people ‘listened’ to and their inputs valued?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1d91d0" w:space="0" w:sz="4" w:val="single"/>
              <w:left w:color="1d91d0" w:space="0" w:sz="4" w:val="single"/>
              <w:bottom w:color="1d91d0" w:space="0" w:sz="8" w:val="single"/>
              <w:right w:color="1d91d0" w:space="0" w:sz="4" w:val="single"/>
            </w:tcBorders>
            <w:tcMar>
              <w:top w:w="80.0" w:type="dxa"/>
              <w:left w:w="80.0" w:type="dxa"/>
              <w:bottom w:w="80.0" w:type="dxa"/>
              <w:right w:w="324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tabs>
          <w:tab w:val="left" w:leader="none" w:pos="360"/>
          <w:tab w:val="left" w:leader="none" w:pos="720"/>
          <w:tab w:val="left" w:leader="none" w:pos="1080"/>
          <w:tab w:val="left" w:leader="none" w:pos="1440"/>
          <w:tab w:val="left" w:leader="none" w:pos="1800"/>
          <w:tab w:val="left" w:leader="none" w:pos="2160"/>
          <w:tab w:val="left" w:leader="none" w:pos="2520"/>
          <w:tab w:val="left" w:leader="none" w:pos="2880"/>
          <w:tab w:val="left" w:leader="none" w:pos="3240"/>
          <w:tab w:val="left" w:leader="none" w:pos="3600"/>
          <w:tab w:val="left" w:leader="none" w:pos="3960"/>
          <w:tab w:val="left" w:leader="none" w:pos="4320"/>
          <w:tab w:val="left" w:leader="none" w:pos="4680"/>
          <w:tab w:val="left" w:leader="none" w:pos="5040"/>
          <w:tab w:val="left" w:leader="none" w:pos="5400"/>
          <w:tab w:val="left" w:leader="none" w:pos="5760"/>
          <w:tab w:val="left" w:leader="none" w:pos="6120"/>
          <w:tab w:val="left" w:leader="none" w:pos="6480"/>
          <w:tab w:val="left" w:leader="none" w:pos="6840"/>
          <w:tab w:val="left" w:leader="none" w:pos="7200"/>
          <w:tab w:val="left" w:leader="none" w:pos="7560"/>
          <w:tab w:val="left" w:leader="none" w:pos="7920"/>
          <w:tab w:val="left" w:leader="none" w:pos="8280"/>
          <w:tab w:val="left" w:leader="none" w:pos="8640"/>
        </w:tabs>
        <w:ind w:left="62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600" w:top="560" w:left="1300" w:right="1680" w:header="0" w:footer="401"/>
      <w:pgNumType w:start="18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Avenir"/>
  <w:font w:name="Montserrat Thin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right" w:leader="none" w:pos="89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41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2" w:hanging="342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23" w:hanging="342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74" w:hanging="342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826" w:hanging="342.0000000000002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2177" w:hanging="342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528" w:hanging="342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880" w:hanging="342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3231" w:hanging="341.9999999999991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41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0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21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72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824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2175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526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878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322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41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0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21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72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824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2175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526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878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322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41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0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21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72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824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2175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526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878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322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41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0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21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72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824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2175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526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878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322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•"/>
      <w:lvlJc w:val="left"/>
      <w:pPr>
        <w:ind w:left="41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0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21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72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824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2175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526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878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322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•"/>
      <w:lvlJc w:val="left"/>
      <w:pPr>
        <w:ind w:left="419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0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21" w:hanging="339.0000000000001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72" w:hanging="339.0000000000002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824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2175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526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878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3229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•"/>
      <w:lvlJc w:val="left"/>
      <w:pPr>
        <w:ind w:left="41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0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21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72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824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2175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526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878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322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•"/>
      <w:lvlJc w:val="left"/>
      <w:pPr>
        <w:ind w:left="41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0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21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72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824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2175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526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878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322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•"/>
      <w:lvlJc w:val="left"/>
      <w:pPr>
        <w:ind w:left="41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0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21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72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824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2175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526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878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322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•"/>
      <w:lvlJc w:val="left"/>
      <w:pPr>
        <w:ind w:left="419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0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21" w:hanging="339.0000000000001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72" w:hanging="339.0000000000002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824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2175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526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878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3229" w:hanging="339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•"/>
      <w:lvlJc w:val="left"/>
      <w:pPr>
        <w:ind w:left="41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0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21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472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824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2175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2526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878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3229" w:hanging="340"/>
      </w:pPr>
      <w:rPr>
        <w:rFonts w:ascii="Avenir" w:cs="Avenir" w:eastAsia="Avenir" w:hAnsi="Avenir"/>
        <w:b w:val="0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-Bold" w:cs="Montserrat-Bold" w:eastAsia="Montserrat-Bold" w:hAnsi="Montserrat-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85" w:line="240" w:lineRule="auto"/>
      <w:ind w:left="44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1" Type="http://schemas.openxmlformats.org/officeDocument/2006/relationships/font" Target="fonts/MontserratThin-italic.ttf"/><Relationship Id="rId10" Type="http://schemas.openxmlformats.org/officeDocument/2006/relationships/font" Target="fonts/MontserratThin-bold.ttf"/><Relationship Id="rId12" Type="http://schemas.openxmlformats.org/officeDocument/2006/relationships/font" Target="fonts/MontserratThin-boldItalic.ttf"/><Relationship Id="rId9" Type="http://schemas.openxmlformats.org/officeDocument/2006/relationships/font" Target="fonts/MontserratThin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1dqZN3G8x5HFwnUi0DKUocNVg==">CgMxLjA4AHIhMU9zQXY0ZnphNmRfTUJ1WHg2ZmxFVHhoV3kyc3ZXYkEx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